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>
      <w:pPr>
        <w:pStyle w:val="Normal"/>
        <w:ind w:firstLine="5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>
      <w:pPr>
        <w:pStyle w:val="Normal"/>
        <w:ind w:firstLine="5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firstLine="5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center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07.12.2018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108</w:t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shd w:val="clear" w:color="auto" w:fill="FFFFFF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муниципальной   программы «Организация культурного обслуживания населения  муниципального образования Речное сельское поселение Куменского района Кировской области </w:t>
      </w:r>
    </w:p>
    <w:p>
      <w:pPr>
        <w:pStyle w:val="Normal"/>
        <w:shd w:val="clear" w:color="auto" w:fill="FFFFFF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 2019-2021 годы»</w:t>
      </w:r>
    </w:p>
    <w:p>
      <w:pPr>
        <w:pStyle w:val="Normal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bCs/>
          <w:sz w:val="28"/>
          <w:szCs w:val="28"/>
        </w:rPr>
        <w:tab/>
        <w:t xml:space="preserve">В соответствии со статьей 33 Устава муниципального образования Речное сельское поселение Куменского района Кировской области, постановлением администрации Речного сельского поселения от 25.11.2013 № 89 «О разработке, реализации и оценке эффективности реализации муниципальных программ Речного сельского поселения Куменского района Кировской области» и во   исполнении постановления администрации Речного сельского поселения  от  24.10.2018 № 94 «Об утверждении Перечня муниципальных программ на 2019-2021 годы» </w:t>
      </w:r>
      <w:r>
        <w:rPr>
          <w:sz w:val="28"/>
          <w:szCs w:val="28"/>
        </w:rPr>
        <w:t>администрация Речного сельского поселения ПОСТАНОВЛЯЕТ:</w:t>
      </w:r>
    </w:p>
    <w:p>
      <w:pPr>
        <w:pStyle w:val="Normal"/>
        <w:shd w:val="clear" w:color="auto" w:fill="FFFFFF"/>
        <w:jc w:val="both"/>
        <w:rPr/>
      </w:pPr>
      <w:r>
        <w:rPr>
          <w:sz w:val="28"/>
          <w:szCs w:val="28"/>
        </w:rPr>
        <w:tab/>
        <w:t>1. Утвердить муниципальную   программу «</w:t>
      </w:r>
      <w:r>
        <w:rPr>
          <w:bCs/>
          <w:sz w:val="28"/>
          <w:szCs w:val="28"/>
        </w:rPr>
        <w:t>Организация культурного обслуживания населения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муниципального образования Речное сельское поселение Куменского района Кировской области  на  2019-2021 годы» (далее – Программа). Прилагается.</w:t>
      </w:r>
    </w:p>
    <w:p>
      <w:pPr>
        <w:pStyle w:val="Normal"/>
        <w:shd w:val="clear" w:color="auto" w:fill="FFFFFF"/>
        <w:jc w:val="both"/>
        <w:rPr/>
      </w:pPr>
      <w:r>
        <w:rPr>
          <w:bCs/>
          <w:sz w:val="28"/>
          <w:szCs w:val="28"/>
        </w:rPr>
        <w:tab/>
        <w:t>2. Финансирование расходов на реализацию муниципальной программы осуществлять в пределах средств, предназначенных в бюджете поселения на указанные цели на 2019-2021 годы.</w:t>
      </w:r>
    </w:p>
    <w:p>
      <w:pPr>
        <w:pStyle w:val="Normal"/>
        <w:ind w:hanging="0"/>
        <w:jc w:val="both"/>
        <w:rPr/>
      </w:pPr>
      <w:r>
        <w:rPr>
          <w:bCs/>
          <w:sz w:val="28"/>
          <w:szCs w:val="28"/>
        </w:rPr>
        <w:tab/>
        <w:t>3. Постановление  администрации Речного сельского поселения от 26.01.2018 № 16 «Об утверждении муниципальной  программы «Организация культурного обслуживания населения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муниципального образования Речное сельское поселение Куменского района Кировской области на 2018-2020 годы»  считать утратившими силу.</w:t>
      </w:r>
    </w:p>
    <w:p>
      <w:pPr>
        <w:pStyle w:val="Normal"/>
        <w:ind w:hanging="0"/>
        <w:jc w:val="both"/>
        <w:rPr/>
      </w:pPr>
      <w:r>
        <w:rPr>
          <w:bCs/>
          <w:sz w:val="28"/>
          <w:szCs w:val="28"/>
        </w:rPr>
        <w:tab/>
        <w:t>4. Опубликовать настоящее постановление в Информационном бюллетене Речного сельского поселения.</w:t>
      </w:r>
    </w:p>
    <w:p>
      <w:pPr>
        <w:pStyle w:val="Normal"/>
        <w:ind w:hanging="0"/>
        <w:jc w:val="both"/>
        <w:rPr/>
      </w:pPr>
      <w:r>
        <w:rPr>
          <w:bCs/>
          <w:sz w:val="28"/>
          <w:szCs w:val="28"/>
        </w:rPr>
        <w:tab/>
        <w:t>5. Настоящее постановление вступает в силу с 01.01.2019 года.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И.о.главы администрации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Речного сельского поселения            Т.В. Чувашова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>УТВЕРЖДЕНА</w:t>
      </w:r>
    </w:p>
    <w:p>
      <w:pPr>
        <w:pStyle w:val="Normal"/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>
        <w:rPr>
          <w:bCs/>
          <w:sz w:val="28"/>
          <w:szCs w:val="28"/>
        </w:rPr>
        <w:t>постановлением администрации</w:t>
      </w:r>
    </w:p>
    <w:p>
      <w:pPr>
        <w:pStyle w:val="Normal"/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>
        <w:rPr>
          <w:bCs/>
          <w:sz w:val="28"/>
          <w:szCs w:val="28"/>
        </w:rPr>
        <w:t>Речного сельского поселения</w:t>
      </w:r>
    </w:p>
    <w:p>
      <w:pPr>
        <w:pStyle w:val="Normal"/>
        <w:shd w:val="clear" w:color="auto" w:fill="FFFFFF"/>
        <w:jc w:val="both"/>
        <w:rPr/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>
        <w:rPr>
          <w:bCs/>
          <w:sz w:val="28"/>
          <w:szCs w:val="28"/>
        </w:rPr>
        <w:t xml:space="preserve">от 07.12.2018 № 108                    </w:t>
      </w:r>
    </w:p>
    <w:p>
      <w:pPr>
        <w:pStyle w:val="Normal"/>
        <w:shd w:val="clear" w:color="auto" w:fill="FFFFFF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hd w:val="clear" w:color="auto" w:fill="FFFFFF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hd w:val="clear" w:color="auto" w:fill="FFFFFF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hd w:val="clear" w:color="auto" w:fill="FFFFFF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hd w:val="clear" w:color="auto" w:fill="FFFFFF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hd w:val="clear" w:color="auto" w:fill="FFFFFF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hd w:val="clear" w:color="auto" w:fill="FFFFFF"/>
        <w:spacing w:lineRule="auto" w:line="3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 программа </w:t>
      </w:r>
    </w:p>
    <w:p>
      <w:pPr>
        <w:pStyle w:val="Normal"/>
        <w:shd w:val="clear" w:color="auto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«Организация культурного обслуживания населения  муниципального образования Речное сельское поселение Куменского района</w:t>
      </w:r>
    </w:p>
    <w:p>
      <w:pPr>
        <w:pStyle w:val="Normal"/>
        <w:shd w:val="clear" w:color="auto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Кировской области  на  2019-2021 годы»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>
      <w:pPr>
        <w:pStyle w:val="1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ПАСПОРТ</w:t>
      </w:r>
    </w:p>
    <w:p>
      <w:pPr>
        <w:pStyle w:val="Normal"/>
        <w:shd w:val="clear" w:color="auto" w:fill="FFFFFF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программы</w:t>
      </w:r>
      <w:r>
        <w:rPr>
          <w:szCs w:val="28"/>
        </w:rPr>
        <w:t xml:space="preserve"> </w:t>
      </w:r>
      <w:r>
        <w:rPr>
          <w:b/>
          <w:bCs/>
          <w:sz w:val="28"/>
          <w:szCs w:val="28"/>
        </w:rPr>
        <w:t>«Организация культурного обслуживания населения  муниципального образования Речное сельское поселение Куменского района  Кировской области  на  2019-2021 годы»</w:t>
      </w:r>
    </w:p>
    <w:p>
      <w:pPr>
        <w:pStyle w:val="Normal"/>
        <w:rPr/>
      </w:pPr>
      <w:r>
        <w:rPr/>
      </w:r>
      <w:bookmarkStart w:id="0" w:name="_Toc166083040"/>
      <w:bookmarkStart w:id="1" w:name="_Toc168147796"/>
      <w:bookmarkStart w:id="2" w:name="_Toc166083040"/>
      <w:bookmarkStart w:id="3" w:name="_Toc168147796"/>
      <w:bookmarkEnd w:id="2"/>
      <w:bookmarkEnd w:id="3"/>
    </w:p>
    <w:tbl>
      <w:tblPr>
        <w:tblW w:w="5000" w:type="pct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31" w:type="dxa"/>
          <w:bottom w:w="0" w:type="dxa"/>
          <w:right w:w="40" w:type="dxa"/>
        </w:tblCellMar>
        <w:tblLook w:val="0000"/>
      </w:tblPr>
      <w:tblGrid>
        <w:gridCol w:w="2991"/>
        <w:gridCol w:w="6362"/>
      </w:tblGrid>
      <w:tr>
        <w:trPr>
          <w:trHeight w:val="576" w:hRule="atLeast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  <w:p>
            <w:pPr>
              <w:pStyle w:val="Normal"/>
              <w:shd w:val="clear" w:color="auto" w:fill="FFFFFF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исполнитель муници-пальной программы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Речной сельский дом культуры</w:t>
            </w:r>
          </w:p>
        </w:tc>
      </w:tr>
      <w:tr>
        <w:trPr>
          <w:trHeight w:val="576" w:hRule="atLeast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Олимпийский сельский дом культуры – филиал</w:t>
            </w:r>
          </w:p>
        </w:tc>
      </w:tr>
      <w:tr>
        <w:trPr>
          <w:trHeight w:val="576" w:hRule="atLeast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дальнейшего развития культуры и народного творчества на территории Речного сельского поселения;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досуга населения</w:t>
            </w:r>
          </w:p>
        </w:tc>
      </w:tr>
      <w:tr>
        <w:trPr>
          <w:trHeight w:val="576" w:hRule="atLeast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Задачами, решаемыми в рамках программы, являются: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65" w:leader="none"/>
              </w:tabs>
              <w:ind w:left="34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 материально технической базы культурно-досуговых учреждений поселения;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365" w:leader="none"/>
              </w:tabs>
              <w:ind w:left="34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населения к культурным ценностям, организация досуга;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4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доступности и качества услуг, оказываемых населению поселения;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4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возможности для занятий в коллективах художественной самодеятельности и создание условий для самореализации творческой личности;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4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кадрового потенциала, повышение квалификации кадров учреждений культуры;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34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 учреждения.</w:t>
            </w:r>
          </w:p>
        </w:tc>
      </w:tr>
      <w:tr>
        <w:trPr>
          <w:trHeight w:val="576" w:hRule="atLeast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Целевые показатели эффективности реали-зации муниципальной программы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проведенных культурно-массовых и досуговых мероприятий  ( ед.);</w:t>
            </w:r>
          </w:p>
          <w:p>
            <w:pPr>
              <w:pStyle w:val="ListParagraph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посетителей культурно-досуговых мероприятий (чел);</w:t>
            </w:r>
          </w:p>
          <w:p>
            <w:pPr>
              <w:pStyle w:val="ListParagraph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клубных формирований  (ед.); </w:t>
            </w:r>
          </w:p>
          <w:p>
            <w:pPr>
              <w:pStyle w:val="ListParagraph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число участников клубных формирований  (чел.);</w:t>
            </w:r>
          </w:p>
          <w:p>
            <w:pPr>
              <w:pStyle w:val="ListParagraph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рост удельного веса населения, участвующего в платных культурно-досуговых мероприятиях ( %);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рост участия коллективов художественной самодеятельности в различных  фестивалях и конкурсах  (ед.)</w:t>
            </w:r>
          </w:p>
        </w:tc>
      </w:tr>
      <w:tr>
        <w:trPr>
          <w:trHeight w:val="576" w:hRule="atLeast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Этапы и сроки реализации муници-пальной программы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2019–2021 годы, выделение этапов не предусмотрено</w:t>
            </w:r>
          </w:p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79" w:hRule="atLeast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программы: 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sz w:val="28"/>
                <w:szCs w:val="28"/>
              </w:rPr>
              <w:t xml:space="preserve">всего – 3849,7      тыс.руб., в т.ч. бюджет поселения-          3849,7тыс. руб., в т.ч. по годам:   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 –   1234,8  тыс.руб., 2020 –  1304,9     тыс.руб.,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2021 -  1310,0  тыс.руб.</w:t>
            </w:r>
          </w:p>
        </w:tc>
      </w:tr>
      <w:tr>
        <w:trPr>
          <w:trHeight w:val="1079" w:hRule="atLeast"/>
        </w:trPr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По итогам 2021 года должны быть выполнены следующие количественные показатели:</w:t>
            </w:r>
          </w:p>
          <w:p>
            <w:pPr>
              <w:pStyle w:val="ListParagraph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проведенных культурно-массовых и досуговых мероприятий  - 208 ед.</w:t>
            </w:r>
          </w:p>
          <w:p>
            <w:pPr>
              <w:pStyle w:val="ListParagraph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посетителей культурно-досуговых мероприятий  -  8220 чел.;</w:t>
            </w:r>
          </w:p>
          <w:p>
            <w:pPr>
              <w:pStyle w:val="ListParagraph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клубных формирований- 22 ед.;</w:t>
            </w:r>
          </w:p>
          <w:p>
            <w:pPr>
              <w:pStyle w:val="ListParagraph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число участников клубных формирований- 300 чел.;</w:t>
            </w:r>
          </w:p>
          <w:p>
            <w:pPr>
              <w:pStyle w:val="ListParagraph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рост удельного веса населения, участвующего в платных  культурно-досуговых  мероприятиях – </w:t>
            </w:r>
          </w:p>
          <w:p>
            <w:pPr>
              <w:pStyle w:val="ListParagraph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   %;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рост участия коллективов художественной самодеятельности в различных  фестивалях и конкурсах - 4 ед.</w:t>
            </w:r>
          </w:p>
        </w:tc>
      </w:tr>
    </w:tbl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jc w:val="both"/>
        <w:rPr/>
      </w:pPr>
      <w:r>
        <w:rPr/>
        <w:t xml:space="preserve">       </w:t>
      </w:r>
      <w:r>
        <w:rPr/>
        <w:t>1. Общая характеристика сферы реализации муниципальной программы,  в том числе формулировки основных проблем в указанной сфере и прогноз её развития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sz w:val="28"/>
          <w:szCs w:val="28"/>
        </w:rPr>
        <w:tab/>
        <w:t>Муниципальное казенное учреждение Речной сельский дом культуры является культурно-досуговым центром    поселения и имеет     филиал     в  п. Олимпийский.</w:t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sz w:val="28"/>
          <w:szCs w:val="28"/>
        </w:rPr>
        <w:tab/>
        <w:t xml:space="preserve">Основные показатели, характеризующие деятельность учреждения: </w:t>
      </w:r>
    </w:p>
    <w:p>
      <w:pPr>
        <w:pStyle w:val="ListParagraph"/>
        <w:shd w:val="clear" w:color="auto" w:fill="FFFFFF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посетителей досугово-массовых мероприятий:   </w:t>
      </w:r>
    </w:p>
    <w:p>
      <w:pPr>
        <w:pStyle w:val="ListParagraph"/>
        <w:shd w:val="clear" w:color="auto" w:fill="FFFFFF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2017 году – 6875 человек,  2018 году – 4556 человек;</w:t>
      </w:r>
    </w:p>
    <w:p>
      <w:pPr>
        <w:pStyle w:val="ListParagraph"/>
        <w:shd w:val="clear" w:color="auto" w:fill="FFFFFF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 клубных формирований: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в 2017 году – 29,      2018 – 29; 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количество участников клубных формирований: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в 2017 году - 349 человек,    в 2018 – 350 человек.  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Уменьшилось количество посетителей досугово-массовых мероприятий.   </w:t>
      </w:r>
    </w:p>
    <w:p>
      <w:pPr>
        <w:pStyle w:val="Normal"/>
        <w:shd w:val="clear" w:color="auto" w:fill="FFFFFF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Продолжают действовать клубные формирования:  студия танца «Кураж»,  вокальная студия «Ассоль», клубы «Атлет», «Ракетка», «Преодоление», «Ветеран», «Очумелые ручки»,</w:t>
      </w:r>
      <w:r>
        <w:rPr>
          <w:i/>
          <w:sz w:val="36"/>
          <w:szCs w:val="36"/>
        </w:rPr>
        <w:t xml:space="preserve"> </w:t>
      </w:r>
      <w:r>
        <w:rPr>
          <w:i w:val="false"/>
          <w:iCs w:val="false"/>
          <w:sz w:val="28"/>
          <w:szCs w:val="28"/>
        </w:rPr>
        <w:t>т</w:t>
      </w:r>
      <w:r>
        <w:rPr>
          <w:sz w:val="28"/>
          <w:szCs w:val="28"/>
        </w:rPr>
        <w:t>еатральный кружок «Веселый балаганчик»</w:t>
      </w:r>
      <w:r>
        <w:rPr>
          <w:i/>
          <w:sz w:val="36"/>
          <w:szCs w:val="36"/>
        </w:rPr>
        <w:t xml:space="preserve">  </w:t>
      </w:r>
      <w:r>
        <w:rPr>
          <w:sz w:val="28"/>
          <w:szCs w:val="28"/>
        </w:rPr>
        <w:t xml:space="preserve"> и другие.</w:t>
      </w:r>
    </w:p>
    <w:p>
      <w:pPr>
        <w:pStyle w:val="ListParagraph"/>
        <w:shd w:val="clear" w:color="auto" w:fill="FFFFFF"/>
        <w:ind w:left="0" w:hanging="0"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Танцевальная студия «Кураж» участвовала в праздничных концертах, проводимых  домом  культуры и в районных фестивалях. </w:t>
      </w:r>
    </w:p>
    <w:p>
      <w:pPr>
        <w:pStyle w:val="ListParagraph"/>
        <w:shd w:val="clear" w:color="auto" w:fill="FFFFFF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hd w:val="clear" w:color="auto" w:fill="FFFFFF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ListParagraph"/>
        <w:shd w:val="clear" w:color="auto" w:fill="FFFFFF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ListParagraph"/>
        <w:shd w:val="clear" w:color="auto" w:fill="FFFFFF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Продолжается     оборудование хореографического  класса для занятия танцами. Планируется создание фотостудии на базе дома культуры.</w:t>
      </w:r>
    </w:p>
    <w:p>
      <w:pPr>
        <w:pStyle w:val="ListParagraph"/>
        <w:shd w:val="clear" w:color="auto" w:fill="FFFFFF"/>
        <w:ind w:left="0" w:firstLine="567"/>
        <w:jc w:val="both"/>
        <w:rPr/>
      </w:pPr>
      <w:r>
        <w:rPr>
          <w:sz w:val="28"/>
          <w:szCs w:val="28"/>
        </w:rPr>
        <w:tab/>
        <w:t>На сегодняшний день Речной сельский дом культуры не располагает рабочей аппаратурой, поэтому с марта 2017 года не проводились дискотеки  и к тому же большая часть технического оснащения уже устарела и подлежит замене. Кроме того значимая часть финансирования идет на содержание Олимпийского дома культуры – филиала, в том числе  на   аренду помещения у ООО « Олимпийские тепловые сети» в  п. Олимпийский.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казенного муниципального учреждения Речной сельский дом культуры  осуществляется на средства бюджета поселения, в том числе, от заработанных доходов  от предпринимательской и иной приносящей доход деятельности самого учреждения. Основную долю дохода приносит Речной  сельский дом культуры. Так как бюджет поселения дотационный, то средства закладываются в основном только на первоочередные нужды: коммунальные услуги и заработную плату. С каждым годом ужесточаются требования Государственного пожарного  надзора. Из-за нехватки финансирования острой проблемой встает выполнение мероприятий по пожарной безопасности. В 2019 году необходимо выполнить следующие мероприятия: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обработка одежды сцены огнезащитным составом;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испытания по контролю качества огнезащитной обработки деревянных конструкций и определения качества огнезащитной обработки ткани;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договоров на обслуживание пожарной сигнализации.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измерение  давления в пожарных кранах (ПК), системы противопожарного  водопровода  (2 раза в год)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перемотка пожарных рукавов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обработка сцены в п.Олимпийский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замена дверной коробки в зрительном зале № 1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установка эвакуационного освещения</w:t>
      </w:r>
    </w:p>
    <w:p>
      <w:pPr>
        <w:pStyle w:val="ListParagraph"/>
        <w:numPr>
          <w:ilvl w:val="0"/>
          <w:numId w:val="4"/>
        </w:num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установка доводчиков и уплотнителей дверей</w:t>
      </w:r>
    </w:p>
    <w:p>
      <w:pPr>
        <w:pStyle w:val="Normal"/>
        <w:shd w:val="clear" w:color="auto" w:fill="FFFFFF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Реализация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муниципальной  программы «Организация культурного обслуживания населения  муниципального образования Речное сельское поселение Куменского района Кировской области  на  2019-2021 годы» </w:t>
      </w:r>
      <w:r>
        <w:rPr>
          <w:sz w:val="28"/>
          <w:szCs w:val="28"/>
        </w:rPr>
        <w:t xml:space="preserve"> будет способствовать решению данных проблем.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Уставом муниципального казенного учреждения Речной сельский дом культуры, утвержденным постановлением администрации Речного сельского поселения от 05.07.2011 № 51, дом культуры оказывает услуги социально-культурного характера, тем самым удовлетворяя общественные потребности в сохранении и развитии народной культуры, поддержке любительского художественного творчества и самодеятельной инициативы.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Следовательно, решение поставленных в настоящей Программе задач входит в безусловную компетенцию учреждения культуры и может быть решено на ведомственном уровне.</w:t>
      </w:r>
    </w:p>
    <w:p>
      <w:pPr>
        <w:pStyle w:val="Normal"/>
        <w:shd w:val="clear" w:color="auto" w:fill="FFFFFF"/>
        <w:jc w:val="center"/>
        <w:rPr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3</w:t>
      </w:r>
    </w:p>
    <w:p>
      <w:pPr>
        <w:pStyle w:val="Normal"/>
        <w:shd w:val="clear" w:color="auto" w:fill="FFFFFF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 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</w:t>
      </w:r>
    </w:p>
    <w:p>
      <w:pPr>
        <w:pStyle w:val="Normal"/>
        <w:shd w:val="clear" w:color="auto" w:fill="FFFFFF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описание ожидаемых конечных результатов реализации муниципальной программы, сроков и этапов реализации муниципальной программы</w:t>
      </w:r>
    </w:p>
    <w:p>
      <w:pPr>
        <w:pStyle w:val="Normal"/>
        <w:shd w:val="clear" w:color="auto" w:fill="FFFFFF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2.1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Настоящая программа разрабатывается в соответствии с</w:t>
      </w:r>
      <w:r>
        <w:rPr>
          <w:b/>
          <w:bCs/>
          <w:color w:val="000000"/>
          <w:spacing w:val="-17"/>
          <w:sz w:val="32"/>
          <w:szCs w:val="32"/>
        </w:rPr>
        <w:t xml:space="preserve"> </w:t>
      </w:r>
      <w:r>
        <w:rPr>
          <w:b w:val="false"/>
          <w:bCs w:val="false"/>
          <w:color w:val="000000"/>
          <w:spacing w:val="-17"/>
          <w:sz w:val="28"/>
          <w:szCs w:val="28"/>
        </w:rPr>
        <w:t>распоряжением Правительства Российской Федерации от 29.02.2016 № 326-р «Об утверждении Стратегии государственной культурной политики на период до 2030 года».</w:t>
      </w:r>
    </w:p>
    <w:p>
      <w:pPr>
        <w:pStyle w:val="Normal"/>
        <w:shd w:val="clear" w:color="auto" w:fill="FFFFFF"/>
        <w:jc w:val="both"/>
        <w:rPr>
          <w:bCs/>
          <w:color w:val="000000"/>
          <w:spacing w:val="-17"/>
          <w:sz w:val="28"/>
          <w:szCs w:val="28"/>
        </w:rPr>
      </w:pPr>
      <w:r>
        <w:rPr>
          <w:bCs/>
          <w:color w:val="000000"/>
          <w:spacing w:val="-17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2.2. Цели  муниципальной программы</w:t>
      </w:r>
      <w:bookmarkStart w:id="4" w:name="_Toc168147801"/>
    </w:p>
    <w:p>
      <w:pPr>
        <w:pStyle w:val="Normal"/>
        <w:shd w:val="clear" w:color="auto" w:fill="FFFFFF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Основные цели муниципальной программы:</w:t>
      </w:r>
    </w:p>
    <w:p>
      <w:pPr>
        <w:pStyle w:val="Normal"/>
        <w:shd w:val="clear" w:color="auto" w:fill="FFFFFF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создание условий для дальнейшего развития культуры и народного творчества на территории Речного сельского поселения;</w:t>
      </w:r>
    </w:p>
    <w:p>
      <w:pPr>
        <w:pStyle w:val="Normal"/>
        <w:shd w:val="clear" w:color="auto" w:fill="FFFFFF"/>
        <w:jc w:val="both"/>
        <w:rPr/>
      </w:pPr>
      <w:r>
        <w:rPr>
          <w:sz w:val="28"/>
          <w:szCs w:val="28"/>
        </w:rPr>
        <w:t>- организация досуга населения.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both"/>
        <w:rPr/>
      </w:pPr>
      <w:bookmarkStart w:id="5" w:name="_Toc168147803"/>
      <w:bookmarkEnd w:id="4"/>
      <w:r>
        <w:rPr/>
        <w:t xml:space="preserve"> </w:t>
      </w:r>
      <w:r>
        <w:rPr/>
        <w:tab/>
        <w:t>2.3. Задачами муниципальной  программы</w:t>
      </w:r>
      <w:bookmarkEnd w:id="5"/>
      <w:r>
        <w:rPr/>
        <w:t xml:space="preserve"> являются: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567" w:leader="none"/>
          <w:tab w:val="left" w:pos="709" w:leader="none"/>
        </w:tabs>
        <w:ind w:hanging="0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-  сохранение  материально технической базы домов культуры сельского поселения;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567" w:leader="none"/>
          <w:tab w:val="left" w:pos="709" w:leader="none"/>
        </w:tabs>
        <w:ind w:left="360" w:hanging="0"/>
        <w:jc w:val="both"/>
        <w:rPr/>
      </w:pPr>
      <w:r>
        <w:rPr>
          <w:sz w:val="28"/>
          <w:szCs w:val="28"/>
        </w:rPr>
        <w:t>- приобщение населения к культурным ценностям, организация досуга;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567" w:leader="none"/>
          <w:tab w:val="left" w:pos="709" w:leader="none"/>
        </w:tabs>
        <w:ind w:left="360" w:hanging="0"/>
        <w:jc w:val="both"/>
        <w:rPr/>
      </w:pPr>
      <w:r>
        <w:rPr>
          <w:sz w:val="28"/>
          <w:szCs w:val="28"/>
        </w:rPr>
        <w:t>- повышение доступности и качества услуг, оказываемых населению поселения;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567" w:leader="none"/>
          <w:tab w:val="left" w:pos="709" w:leader="none"/>
        </w:tabs>
        <w:ind w:left="360" w:hanging="0"/>
        <w:jc w:val="both"/>
        <w:rPr/>
      </w:pPr>
      <w:r>
        <w:rPr>
          <w:sz w:val="28"/>
          <w:szCs w:val="28"/>
        </w:rPr>
        <w:t xml:space="preserve">- предоставление возможности для занятий в коллективах художественной </w:t>
        <w:tab/>
        <w:tab/>
        <w:t>самодеятельности и создание условий для самореализации творческой личности;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567" w:leader="none"/>
          <w:tab w:val="left" w:pos="709" w:leader="none"/>
        </w:tabs>
        <w:ind w:left="360" w:hanging="0"/>
        <w:jc w:val="both"/>
        <w:rPr/>
      </w:pPr>
      <w:r>
        <w:rPr>
          <w:sz w:val="28"/>
          <w:szCs w:val="28"/>
        </w:rPr>
        <w:t>- сохранение кадрового потенциала, повышение квалификации кадров учреждения культуры;</w:t>
      </w:r>
    </w:p>
    <w:p>
      <w:pPr>
        <w:pStyle w:val="Normal"/>
        <w:numPr>
          <w:ilvl w:val="0"/>
          <w:numId w:val="0"/>
        </w:numPr>
        <w:tabs>
          <w:tab w:val="left" w:pos="567" w:leader="none"/>
          <w:tab w:val="left" w:pos="709" w:leader="none"/>
        </w:tabs>
        <w:ind w:left="360" w:hanging="0"/>
        <w:rPr/>
      </w:pPr>
      <w:r>
        <w:rPr>
          <w:sz w:val="28"/>
          <w:szCs w:val="28"/>
        </w:rPr>
        <w:t>- обеспечение пожарной безопасности учреждения.</w:t>
      </w:r>
    </w:p>
    <w:p>
      <w:pPr>
        <w:pStyle w:val="Normal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67" w:leader="none"/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2.4. Целевые показатели эффективности реализации муниципальной программы: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2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4"/>
        <w:gridCol w:w="3301"/>
        <w:gridCol w:w="1409"/>
        <w:gridCol w:w="1363"/>
        <w:gridCol w:w="1308"/>
        <w:gridCol w:w="1185"/>
        <w:gridCol w:w="82"/>
      </w:tblGrid>
      <w:tr>
        <w:trPr>
          <w:trHeight w:val="450" w:hRule="atLeast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 эффективности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по годам</w:t>
            </w:r>
          </w:p>
        </w:tc>
      </w:tr>
      <w:tr>
        <w:trPr>
          <w:trHeight w:val="510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культурно-массовых и досуговых мероприятий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посетителей культурно-досуговых мероприятий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5515</w:t>
            </w:r>
          </w:p>
        </w:tc>
        <w:tc>
          <w:tcPr>
            <w:tcW w:w="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населения, участвующего в платных культурно-досуговых мероприятиях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коллективов художественной самодеятельности в различных фестивалях и конкурсах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реализации мероприятий Программы будет ежегодно производиться на основе данных статистической годовой отчетности, которая обеспечит мониторинг результатов реализованных мероприятий для принятия решений об уточнении поставленных задач и проводимых мероприятий.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Программы будет производиться путем определения соотношения фактического и  программного показателей.</w:t>
      </w:r>
      <w:bookmarkStart w:id="6" w:name="_Toc166083048"/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2.5.  Описание ожидаемых конечных результатов муниципальной программы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позволит выполнить следующие количествен-ные показатели:</w:t>
      </w:r>
    </w:p>
    <w:p>
      <w:pPr>
        <w:pStyle w:val="ListParagraph"/>
        <w:ind w:left="0" w:hanging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количество проведенных культурно-массовых и досуговых мероприятий:</w:t>
      </w:r>
    </w:p>
    <w:p>
      <w:pPr>
        <w:pStyle w:val="Normal"/>
        <w:ind w:left="851" w:hanging="0"/>
        <w:jc w:val="both"/>
        <w:rPr>
          <w:sz w:val="28"/>
          <w:szCs w:val="28"/>
        </w:rPr>
      </w:pPr>
      <w:r>
        <w:rPr>
          <w:sz w:val="28"/>
          <w:szCs w:val="28"/>
        </w:rPr>
        <w:t>2019 – 260;  2020 –  265;  2021 – 270;</w:t>
      </w:r>
    </w:p>
    <w:p>
      <w:pPr>
        <w:pStyle w:val="ListParagraph"/>
        <w:ind w:left="851" w:hanging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посетителей культурно-досуговых мероприятий (чел.):</w:t>
      </w:r>
    </w:p>
    <w:p>
      <w:pPr>
        <w:pStyle w:val="Normal"/>
        <w:ind w:left="851" w:hanging="0"/>
        <w:jc w:val="both"/>
        <w:rPr>
          <w:sz w:val="28"/>
          <w:szCs w:val="28"/>
        </w:rPr>
      </w:pPr>
      <w:r>
        <w:rPr>
          <w:sz w:val="28"/>
          <w:szCs w:val="28"/>
        </w:rPr>
        <w:t>2019 – 5510;  2020 – 5515;  2021 –5520;</w:t>
      </w:r>
    </w:p>
    <w:p>
      <w:pPr>
        <w:pStyle w:val="ListParagraph"/>
        <w:ind w:left="851" w:hanging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клубных формирований (шт.):</w:t>
      </w:r>
    </w:p>
    <w:p>
      <w:pPr>
        <w:pStyle w:val="Normal"/>
        <w:ind w:left="851" w:hanging="0"/>
        <w:jc w:val="both"/>
        <w:rPr>
          <w:sz w:val="28"/>
          <w:szCs w:val="28"/>
        </w:rPr>
      </w:pPr>
      <w:r>
        <w:rPr>
          <w:sz w:val="28"/>
          <w:szCs w:val="28"/>
        </w:rPr>
        <w:t>2019 – 29;  2020 – 29;  2021 – 29;</w:t>
      </w:r>
    </w:p>
    <w:p>
      <w:pPr>
        <w:pStyle w:val="ListParagraph"/>
        <w:ind w:left="851" w:hanging="0"/>
        <w:jc w:val="both"/>
        <w:rPr>
          <w:sz w:val="28"/>
          <w:szCs w:val="28"/>
        </w:rPr>
      </w:pPr>
      <w:r>
        <w:rPr>
          <w:sz w:val="28"/>
          <w:szCs w:val="28"/>
        </w:rPr>
        <w:t>число участников клубных формирований (чел.):</w:t>
      </w:r>
    </w:p>
    <w:p>
      <w:pPr>
        <w:pStyle w:val="Normal"/>
        <w:ind w:left="851" w:hanging="0"/>
        <w:jc w:val="both"/>
        <w:rPr>
          <w:sz w:val="28"/>
          <w:szCs w:val="28"/>
        </w:rPr>
      </w:pPr>
      <w:r>
        <w:rPr>
          <w:sz w:val="28"/>
          <w:szCs w:val="28"/>
        </w:rPr>
        <w:t>2019 – 348;  2020 – 348;  2021 –  348;</w:t>
      </w:r>
    </w:p>
    <w:p>
      <w:pPr>
        <w:pStyle w:val="ListParagraph"/>
        <w:ind w:left="0"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рост удельного веса населения, участвующего в платных культурно-досуговых мероприятиях -  4,0   %;</w:t>
      </w:r>
    </w:p>
    <w:p>
      <w:pPr>
        <w:pStyle w:val="Normal"/>
        <w:ind w:left="851" w:hanging="0"/>
        <w:jc w:val="both"/>
        <w:rPr/>
      </w:pPr>
      <w:r>
        <w:rPr>
          <w:sz w:val="28"/>
          <w:szCs w:val="28"/>
        </w:rPr>
        <w:t>рост участия коллективов художественной самодеятельности в различных  фестивалях и конкурсах - 6 ед.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ab/>
        <w:t xml:space="preserve">Реализация мероприятий программы будет способствовать также повышению художественного уровня и исполнительского мастерства участников   художественной     самодеятельности,     повышению   качества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проводимых культурно-досуговых мероприятий, воспитанию нравственности и духовно-эстетического потенциала у молодежи поселения.</w:t>
      </w:r>
    </w:p>
    <w:p>
      <w:pPr>
        <w:pStyle w:val="Normal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2.6. Сроки и этапы реализации муниципальной программы</w:t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sz w:val="28"/>
          <w:szCs w:val="28"/>
        </w:rPr>
        <w:tab/>
        <w:t>Реализация муниципальных программных мероприятий рассчитана на 2019-2021 годы без подразделения на этапы.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3. Перечень программных мероприятий </w:t>
      </w:r>
    </w:p>
    <w:p>
      <w:pPr>
        <w:pStyle w:val="Normal"/>
        <w:shd w:val="clear" w:color="auto" w:fill="FFFFFF"/>
        <w:ind w:firstLine="720"/>
        <w:jc w:val="both"/>
        <w:rPr/>
      </w:pPr>
      <w:r>
        <w:rPr>
          <w:sz w:val="28"/>
          <w:szCs w:val="28"/>
        </w:rPr>
        <w:t>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End w:id="6"/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дальней-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шем для разработки и утверждения дополнительных нормативных правовых актов будет обусловлена: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изменениями федерального законодательства;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изменениями регионального законодательства;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изменениями законодательства местного самоуправления;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принятыми управленческими решениями.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5. Ресурсное обеспечение муниципальной программы</w:t>
      </w:r>
    </w:p>
    <w:p>
      <w:pPr>
        <w:pStyle w:val="Normal"/>
        <w:jc w:val="both"/>
        <w:rPr>
          <w:sz w:val="28"/>
          <w:szCs w:val="28"/>
        </w:rPr>
      </w:pPr>
      <w:bookmarkStart w:id="7" w:name="_Toc166083051"/>
      <w:bookmarkStart w:id="8" w:name="_Toc168147814"/>
      <w:bookmarkStart w:id="9" w:name="_Toc168147813"/>
      <w:r>
        <w:rPr>
          <w:sz w:val="28"/>
          <w:szCs w:val="28"/>
        </w:rPr>
        <w:t xml:space="preserve"> </w:t>
      </w:r>
      <w:bookmarkEnd w:id="7"/>
      <w:bookmarkEnd w:id="8"/>
      <w:bookmarkEnd w:id="9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Расходы на реализацию Программы направлены на:</w:t>
      </w:r>
    </w:p>
    <w:p>
      <w:pPr>
        <w:pStyle w:val="ListParagraph"/>
        <w:ind w:left="567" w:hanging="0"/>
        <w:jc w:val="both"/>
        <w:rPr/>
      </w:pPr>
      <w:r>
        <w:rPr>
          <w:sz w:val="28"/>
          <w:szCs w:val="28"/>
        </w:rPr>
        <w:tab/>
        <w:t>- содержание учреждения культуры;</w:t>
      </w:r>
    </w:p>
    <w:p>
      <w:pPr>
        <w:pStyle w:val="ListParagraph"/>
        <w:ind w:left="0" w:hanging="0"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- выплату заработной платы сотрудникам;</w:t>
      </w:r>
    </w:p>
    <w:p>
      <w:pPr>
        <w:pStyle w:val="ListParagraph"/>
        <w:ind w:left="567" w:hanging="0"/>
        <w:jc w:val="both"/>
        <w:rPr/>
      </w:pPr>
      <w:r>
        <w:rPr>
          <w:sz w:val="28"/>
          <w:szCs w:val="28"/>
        </w:rPr>
        <w:tab/>
        <w:t>- выполнение перечня программных мероприятий, указанных в Приложении.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выполнения мероприятий осуществляется в рамках бюджетной сметы.</w:t>
      </w:r>
    </w:p>
    <w:p>
      <w:pPr>
        <w:pStyle w:val="Normal"/>
        <w:shd w:val="clear" w:color="auto" w:fill="FFFFFF"/>
        <w:tabs>
          <w:tab w:val="left" w:pos="567" w:leader="none"/>
        </w:tabs>
        <w:ind w:firstLine="567"/>
        <w:jc w:val="both"/>
        <w:rPr/>
      </w:pPr>
      <w:r>
        <w:rPr>
          <w:sz w:val="28"/>
          <w:szCs w:val="28"/>
        </w:rPr>
        <w:t>Реализация мероприятий Программы потребует 3849,7 тыс. руб., в том числе:</w:t>
      </w:r>
    </w:p>
    <w:p>
      <w:pPr>
        <w:pStyle w:val="ListParagraph"/>
        <w:shd w:val="clear" w:color="auto" w:fill="FFFFFF"/>
        <w:ind w:left="567" w:hanging="0"/>
        <w:jc w:val="both"/>
        <w:rPr/>
      </w:pPr>
      <w:r>
        <w:rPr>
          <w:sz w:val="28"/>
          <w:szCs w:val="28"/>
        </w:rPr>
        <w:t>на 2019 год  - 1234,8  тыс.  руб.,</w:t>
      </w:r>
    </w:p>
    <w:p>
      <w:pPr>
        <w:pStyle w:val="ListParagraph"/>
        <w:shd w:val="clear" w:color="auto" w:fill="FFFFFF"/>
        <w:ind w:left="567" w:hanging="0"/>
        <w:rPr/>
      </w:pPr>
      <w:r>
        <w:rPr>
          <w:sz w:val="28"/>
          <w:szCs w:val="28"/>
        </w:rPr>
        <w:t>на 2020 год –  1304,9  тыс.  руб.,</w:t>
      </w:r>
    </w:p>
    <w:p>
      <w:pPr>
        <w:pStyle w:val="ListParagraph"/>
        <w:shd w:val="clear" w:color="auto" w:fill="FFFFFF"/>
        <w:ind w:left="567" w:hanging="0"/>
        <w:rPr/>
      </w:pPr>
      <w:r>
        <w:rPr>
          <w:sz w:val="28"/>
          <w:szCs w:val="28"/>
        </w:rPr>
        <w:t>на 2021 год –  1310,0 тыс.  руб.</w:t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sz w:val="28"/>
          <w:szCs w:val="28"/>
        </w:rPr>
        <w:t>Расходы на выплату заработной платы обусловлены необходимостью содержания 5 сотрудников. Программа предусматривает на заработную плату с начислениями: в 2019 – 811,6 тыс.  руб., в 2020-2021 –  1623,2  тыс. руб. На содержание учреждений культуры потребуется в 2019 году – 423,2 тыс. руб., в 2020 — 493,3 тыс.руб., 2021 – 498,4 тыс. руб.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sz w:val="28"/>
          <w:szCs w:val="28"/>
        </w:rPr>
        <w:t>Источником финансирования реализации мероприятий Программы является бюджет муниципального образования Речного сельского поселения.</w:t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567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5.1.Объем финансирования Программы</w:t>
      </w:r>
    </w:p>
    <w:p>
      <w:pPr>
        <w:pStyle w:val="Normal"/>
        <w:shd w:val="clear" w:color="auto" w:fill="FFFFFF"/>
        <w:jc w:val="center"/>
        <w:rPr>
          <w:b/>
          <w:b/>
        </w:rPr>
      </w:pPr>
      <w:r>
        <w:rPr>
          <w:b/>
        </w:rPr>
      </w:r>
    </w:p>
    <w:tbl>
      <w:tblPr>
        <w:tblW w:w="4900" w:type="pct"/>
        <w:jc w:val="left"/>
        <w:tblInd w:w="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31" w:type="dxa"/>
          <w:bottom w:w="0" w:type="dxa"/>
          <w:right w:w="40" w:type="dxa"/>
        </w:tblCellMar>
        <w:tblLook w:val="0000"/>
      </w:tblPr>
      <w:tblGrid>
        <w:gridCol w:w="2208"/>
        <w:gridCol w:w="1207"/>
        <w:gridCol w:w="596"/>
        <w:gridCol w:w="1153"/>
        <w:gridCol w:w="571"/>
        <w:gridCol w:w="1186"/>
        <w:gridCol w:w="529"/>
        <w:gridCol w:w="1152"/>
        <w:gridCol w:w="563"/>
      </w:tblGrid>
      <w:tr>
        <w:trPr>
          <w:trHeight w:val="311" w:hRule="atLeast"/>
        </w:trPr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Источники финансирования программы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Сумма, всего</w:t>
            </w:r>
          </w:p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В т.ч. по годам</w:t>
            </w:r>
          </w:p>
        </w:tc>
      </w:tr>
      <w:tr>
        <w:trPr>
          <w:trHeight w:val="288" w:hRule="atLeast"/>
        </w:trPr>
        <w:tc>
          <w:tcPr>
            <w:tcW w:w="2208" w:type="dxa"/>
            <w:vMerge w:val="continue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3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 xml:space="preserve">2021 </w:t>
            </w:r>
          </w:p>
        </w:tc>
      </w:tr>
      <w:tr>
        <w:trPr>
          <w:trHeight w:val="308" w:hRule="atLeast"/>
        </w:trPr>
        <w:tc>
          <w:tcPr>
            <w:tcW w:w="220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тыс.руб.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тыс.руб.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тыс.руб.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тыс.руб. 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</w:rPr>
            </w:pPr>
            <w:r>
              <w:rPr>
                <w:b/>
              </w:rPr>
              <w:t>%</w:t>
            </w:r>
          </w:p>
        </w:tc>
      </w:tr>
      <w:tr>
        <w:trPr>
          <w:trHeight w:val="323" w:hRule="atLeast"/>
        </w:trPr>
        <w:tc>
          <w:tcPr>
            <w:tcW w:w="22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Бюджет поселения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3849,7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100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1234,8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100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1304,9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100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1310,0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100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корректировку программных мероприятий на очередной год и плановый период.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Расчеты на ресурсное обеспечение мероприятий программы основаны на  расчетном и нормативном методе.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Программы.</w:t>
      </w:r>
      <w:bookmarkStart w:id="10" w:name="_Toc166083049"/>
      <w:bookmarkStart w:id="11" w:name="_Toc168147812"/>
      <w:bookmarkEnd w:id="10"/>
      <w:bookmarkEnd w:id="11"/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567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6. Анализ рисков реализации муниципальной программы и описание   мер управления рисками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Негативными внешними факторами, которые могут повлиять на реализацию программы, являются:</w:t>
      </w:r>
    </w:p>
    <w:p>
      <w:pPr>
        <w:pStyle w:val="ListParagraph"/>
        <w:numPr>
          <w:ilvl w:val="0"/>
          <w:numId w:val="3"/>
        </w:numPr>
        <w:ind w:left="567" w:hanging="567"/>
        <w:jc w:val="both"/>
        <w:rPr/>
      </w:pPr>
      <w:r>
        <w:rPr>
          <w:sz w:val="28"/>
          <w:szCs w:val="28"/>
        </w:rPr>
        <w:t>отсутствие финансирования;</w:t>
      </w:r>
    </w:p>
    <w:p>
      <w:pPr>
        <w:pStyle w:val="ListParagraph"/>
        <w:numPr>
          <w:ilvl w:val="0"/>
          <w:numId w:val="3"/>
        </w:numPr>
        <w:ind w:left="567" w:hanging="567"/>
        <w:jc w:val="both"/>
        <w:rPr/>
      </w:pPr>
      <w:r>
        <w:rPr>
          <w:sz w:val="28"/>
          <w:szCs w:val="28"/>
        </w:rPr>
        <w:t>изменение законодательства;</w:t>
      </w:r>
    </w:p>
    <w:p>
      <w:pPr>
        <w:pStyle w:val="ListParagraph"/>
        <w:numPr>
          <w:ilvl w:val="0"/>
          <w:numId w:val="3"/>
        </w:numPr>
        <w:ind w:left="567" w:hanging="567"/>
        <w:jc w:val="both"/>
        <w:rPr/>
      </w:pPr>
      <w:r>
        <w:rPr>
          <w:sz w:val="28"/>
          <w:szCs w:val="28"/>
        </w:rPr>
        <w:t>форс-мажорные обстоятельства.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Мероприятиями по минимизации негативного влияния внешних факторов могут быть:</w:t>
      </w:r>
    </w:p>
    <w:p>
      <w:pPr>
        <w:pStyle w:val="ListParagraph"/>
        <w:numPr>
          <w:ilvl w:val="0"/>
          <w:numId w:val="2"/>
        </w:numPr>
        <w:ind w:left="567" w:hanging="567"/>
        <w:jc w:val="both"/>
        <w:rPr/>
      </w:pPr>
      <w:r>
        <w:rPr>
          <w:sz w:val="28"/>
          <w:szCs w:val="28"/>
        </w:rPr>
        <w:t>привлечение в установленном порядке дополнительных источников финансирования;</w:t>
      </w:r>
    </w:p>
    <w:p>
      <w:pPr>
        <w:pStyle w:val="ListParagraph"/>
        <w:numPr>
          <w:ilvl w:val="0"/>
          <w:numId w:val="2"/>
        </w:numPr>
        <w:ind w:left="567" w:hanging="567"/>
        <w:jc w:val="both"/>
        <w:rPr/>
      </w:pPr>
      <w:r>
        <w:rPr>
          <w:sz w:val="28"/>
          <w:szCs w:val="28"/>
        </w:rPr>
        <w:t>принятие соответствующих муниципальных правовых актов при изменении законодательства.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bookmarkStart w:id="12" w:name="_Toc168147810"/>
      <w:r>
        <w:rPr>
          <w:b/>
          <w:sz w:val="28"/>
          <w:szCs w:val="28"/>
        </w:rPr>
        <w:t>____________</w:t>
      </w:r>
      <w:bookmarkEnd w:id="12"/>
      <w:r>
        <w:rPr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>к Программе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p>
      <w:pPr>
        <w:pStyle w:val="Normal"/>
        <w:jc w:val="center"/>
        <w:rPr/>
      </w:pPr>
      <w:r>
        <w:rPr/>
      </w:r>
    </w:p>
    <w:tbl>
      <w:tblPr>
        <w:tblW w:w="10095" w:type="dxa"/>
        <w:jc w:val="left"/>
        <w:tblInd w:w="-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86"/>
        <w:gridCol w:w="2514"/>
        <w:gridCol w:w="4996"/>
        <w:gridCol w:w="1998"/>
      </w:tblGrid>
      <w:tr>
        <w:trPr>
          <w:trHeight w:val="615" w:hRule="atLeast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Решаемая задача</w:t>
            </w:r>
          </w:p>
        </w:tc>
        <w:tc>
          <w:tcPr>
            <w:tcW w:w="4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87" w:hanging="0"/>
              <w:rPr/>
            </w:pPr>
            <w:r>
              <w:rPr/>
              <w:t xml:space="preserve">Мероприятия                               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Ответственные</w:t>
            </w:r>
          </w:p>
        </w:tc>
      </w:tr>
      <w:tr>
        <w:trPr>
          <w:trHeight w:val="276" w:hRule="atLeast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87" w:hanging="0"/>
              <w:rPr/>
            </w:pPr>
            <w:r>
              <w:rPr/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8" w:hRule="atLeast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Модернизация</w:t>
            </w:r>
          </w:p>
          <w:p>
            <w:pPr>
              <w:pStyle w:val="Normal"/>
              <w:rPr/>
            </w:pPr>
            <w:r>
              <w:rPr/>
              <w:t>или укрепление материально-</w:t>
            </w:r>
          </w:p>
          <w:p>
            <w:pPr>
              <w:pStyle w:val="Normal"/>
              <w:rPr/>
            </w:pPr>
            <w:r>
              <w:rPr/>
              <w:t>технической базы учреждения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187" w:hanging="0"/>
              <w:rPr/>
            </w:pPr>
            <w:r>
              <w:rPr/>
              <w:t>1. Ремонт:</w:t>
            </w:r>
          </w:p>
          <w:p>
            <w:pPr>
              <w:pStyle w:val="ListParagraph"/>
              <w:ind w:left="0" w:right="-187" w:hanging="0"/>
              <w:rPr/>
            </w:pPr>
            <w:r>
              <w:rPr/>
              <w:t>- фасада здания дома культуры</w:t>
            </w:r>
          </w:p>
          <w:p>
            <w:pPr>
              <w:pStyle w:val="ListParagraph"/>
              <w:ind w:left="0" w:right="-187" w:hanging="0"/>
              <w:rPr/>
            </w:pPr>
            <w:r>
              <w:rPr/>
              <w:t>- ремонт канализации</w:t>
            </w:r>
          </w:p>
          <w:p>
            <w:pPr>
              <w:pStyle w:val="ListParagraph"/>
              <w:ind w:left="0" w:right="-187" w:hanging="0"/>
              <w:rPr/>
            </w:pPr>
            <w:r>
              <w:rPr/>
              <w:t>- частичный ремонт крыши дома культуры</w:t>
            </w:r>
          </w:p>
          <w:p>
            <w:pPr>
              <w:pStyle w:val="ListParagraph"/>
              <w:ind w:left="0" w:right="-187" w:hanging="0"/>
              <w:rPr/>
            </w:pPr>
            <w:r>
              <w:rPr/>
              <w:t>- ремонт дискозала</w:t>
            </w:r>
          </w:p>
          <w:p>
            <w:pPr>
              <w:pStyle w:val="ListParagraph"/>
              <w:ind w:left="0" w:right="-187" w:hanging="0"/>
              <w:rPr/>
            </w:pPr>
            <w:r>
              <w:rPr/>
              <w:t>- замена дверей и дверных коробок</w:t>
            </w:r>
          </w:p>
          <w:p>
            <w:pPr>
              <w:pStyle w:val="ListParagraph"/>
              <w:ind w:left="0" w:right="-187" w:hanging="0"/>
              <w:rPr/>
            </w:pPr>
            <w:r>
              <w:rPr/>
              <w:t>- ремонт системы водоснабжения</w:t>
            </w:r>
          </w:p>
          <w:p>
            <w:pPr>
              <w:pStyle w:val="ListParagraph"/>
              <w:ind w:left="0" w:right="-187" w:hanging="0"/>
              <w:rPr/>
            </w:pPr>
            <w:r>
              <w:rPr/>
              <w:t>- ремонт системы отопления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Директор Речного сельского дома культуры</w:t>
            </w:r>
          </w:p>
          <w:p>
            <w:pPr>
              <w:pStyle w:val="Normal"/>
              <w:rPr/>
            </w:pPr>
            <w:r>
              <w:rPr/>
              <w:t>(далее –директор), администрация  поселения</w:t>
            </w:r>
          </w:p>
        </w:tc>
      </w:tr>
      <w:tr>
        <w:trPr>
          <w:trHeight w:val="345" w:hRule="atLeast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/>
              <w:t>2. подключение к Интернету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Директор </w:t>
            </w:r>
          </w:p>
        </w:tc>
      </w:tr>
      <w:tr>
        <w:trPr>
          <w:trHeight w:val="1380" w:hRule="atLeast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Сохранение </w:t>
            </w:r>
          </w:p>
          <w:p>
            <w:pPr>
              <w:pStyle w:val="Normal"/>
              <w:rPr/>
            </w:pPr>
            <w:r>
              <w:rPr/>
              <w:t xml:space="preserve">кадрового </w:t>
            </w:r>
          </w:p>
          <w:p>
            <w:pPr>
              <w:pStyle w:val="Normal"/>
              <w:rPr/>
            </w:pPr>
            <w:r>
              <w:rPr/>
              <w:t xml:space="preserve">потенциала, </w:t>
            </w:r>
          </w:p>
          <w:p>
            <w:pPr>
              <w:pStyle w:val="Normal"/>
              <w:rPr/>
            </w:pPr>
            <w:r>
              <w:rPr/>
              <w:t xml:space="preserve">повышение </w:t>
            </w:r>
          </w:p>
          <w:p>
            <w:pPr>
              <w:pStyle w:val="Normal"/>
              <w:rPr/>
            </w:pPr>
            <w:r>
              <w:rPr/>
              <w:t>квалификации кадров учреждения культуры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ind w:left="403" w:hanging="360"/>
              <w:jc w:val="both"/>
              <w:rPr/>
            </w:pPr>
            <w:r>
              <w:rPr/>
              <w:t>участие специалистов дома культуры в районных семинарах и мастер-классах;</w:t>
            </w:r>
          </w:p>
          <w:p>
            <w:pPr>
              <w:pStyle w:val="ListParagraph"/>
              <w:numPr>
                <w:ilvl w:val="0"/>
                <w:numId w:val="6"/>
              </w:numPr>
              <w:ind w:left="403" w:hanging="360"/>
              <w:jc w:val="both"/>
              <w:rPr/>
            </w:pPr>
            <w:r>
              <w:rPr/>
              <w:t>участие специалистов дома культуры в курсах повышения квалификации на областном уровне;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Директор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/>
              <w:t xml:space="preserve"> </w:t>
            </w:r>
          </w:p>
        </w:tc>
      </w:tr>
      <w:tr>
        <w:trPr>
          <w:trHeight w:val="615" w:hRule="atLeast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ind w:left="403" w:hanging="360"/>
              <w:jc w:val="both"/>
              <w:rPr/>
            </w:pPr>
            <w:r>
              <w:rPr/>
              <w:t xml:space="preserve">создание позитивного имиджа работника </w:t>
            </w:r>
          </w:p>
          <w:p>
            <w:pPr>
              <w:pStyle w:val="ListParagraph"/>
              <w:ind w:left="403" w:hanging="0"/>
              <w:rPr/>
            </w:pPr>
            <w:r>
              <w:rPr/>
              <w:t>культуры через СМИ;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36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Предоставление помещений  для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занятий  коллек-</w:t>
            </w:r>
          </w:p>
          <w:p>
            <w:pPr>
              <w:pStyle w:val="Normal"/>
              <w:rPr/>
            </w:pPr>
            <w:r>
              <w:rPr/>
              <w:t>тивов художествен-</w:t>
            </w:r>
          </w:p>
          <w:p>
            <w:pPr>
              <w:pStyle w:val="Normal"/>
              <w:rPr/>
            </w:pPr>
            <w:r>
              <w:rPr/>
              <w:t>ной самодеятель-</w:t>
            </w:r>
          </w:p>
          <w:p>
            <w:pPr>
              <w:pStyle w:val="Normal"/>
              <w:rPr/>
            </w:pPr>
            <w:r>
              <w:rPr/>
              <w:t>ности  и создание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условий для самореализации творческой личности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ind w:left="403" w:hanging="360"/>
              <w:jc w:val="both"/>
              <w:rPr/>
            </w:pPr>
            <w:r>
              <w:rPr/>
              <w:t>участие коллективов в районных,  межрайонных и областных фестивалях и</w:t>
            </w:r>
          </w:p>
          <w:p>
            <w:pPr>
              <w:pStyle w:val="ListParagraph"/>
              <w:ind w:left="403" w:hanging="0"/>
              <w:jc w:val="both"/>
              <w:rPr/>
            </w:pPr>
            <w:r>
              <w:rPr/>
              <w:t>конкурсах;</w:t>
            </w:r>
          </w:p>
          <w:p>
            <w:pPr>
              <w:pStyle w:val="ListParagraph"/>
              <w:numPr>
                <w:ilvl w:val="0"/>
                <w:numId w:val="7"/>
              </w:numPr>
              <w:ind w:left="403" w:hanging="360"/>
              <w:jc w:val="both"/>
              <w:rPr/>
            </w:pPr>
            <w:r>
              <w:rPr/>
              <w:t>создание новых клубных формирований;</w:t>
            </w:r>
          </w:p>
          <w:p>
            <w:pPr>
              <w:pStyle w:val="ListParagraph"/>
              <w:numPr>
                <w:ilvl w:val="0"/>
                <w:numId w:val="7"/>
              </w:numPr>
              <w:ind w:left="403" w:hanging="360"/>
              <w:jc w:val="both"/>
              <w:rPr/>
            </w:pPr>
            <w:r>
              <w:rPr/>
              <w:t>презентация результатов работы  культурно-досуговых объединений на сайте района и через проведение твор-ческих отчетов и выставок;</w:t>
            </w:r>
          </w:p>
          <w:p>
            <w:pPr>
              <w:pStyle w:val="ListParagraph"/>
              <w:numPr>
                <w:ilvl w:val="0"/>
                <w:numId w:val="7"/>
              </w:numPr>
              <w:ind w:left="403" w:hanging="360"/>
              <w:jc w:val="both"/>
              <w:rPr/>
            </w:pPr>
            <w:r>
              <w:rPr/>
              <w:t>поощрение участников художественной самодеятельности на массовых меропри- ятиях и поселковых праздниках;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/>
              <w:t>Художественный руководитель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/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/>
            </w:r>
          </w:p>
          <w:p>
            <w:pPr>
              <w:pStyle w:val="Normal"/>
              <w:rPr>
                <w:b/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41" w:hRule="atLeast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Приобщение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населения к </w:t>
            </w:r>
          </w:p>
          <w:p>
            <w:pPr>
              <w:pStyle w:val="Normal"/>
              <w:rPr/>
            </w:pPr>
            <w:r>
              <w:rPr/>
              <w:t xml:space="preserve">культурным </w:t>
            </w:r>
          </w:p>
          <w:p>
            <w:pPr>
              <w:pStyle w:val="Normal"/>
              <w:rPr/>
            </w:pPr>
            <w:r>
              <w:rPr/>
              <w:t xml:space="preserve">ценностям, </w:t>
            </w:r>
          </w:p>
          <w:p>
            <w:pPr>
              <w:pStyle w:val="Normal"/>
              <w:rPr/>
            </w:pPr>
            <w:r>
              <w:rPr/>
              <w:t xml:space="preserve">организация досуга. Повышение </w:t>
            </w:r>
          </w:p>
          <w:p>
            <w:pPr>
              <w:pStyle w:val="Normal"/>
              <w:rPr/>
            </w:pPr>
            <w:r>
              <w:rPr/>
              <w:t xml:space="preserve">доступности и </w:t>
            </w:r>
          </w:p>
          <w:p>
            <w:pPr>
              <w:pStyle w:val="Normal"/>
              <w:rPr/>
            </w:pPr>
            <w:r>
              <w:rPr/>
              <w:t xml:space="preserve">качества услуг, оказываемых </w:t>
            </w:r>
          </w:p>
          <w:p>
            <w:pPr>
              <w:pStyle w:val="Normal"/>
              <w:rPr/>
            </w:pPr>
            <w:r>
              <w:rPr/>
              <w:t>населению.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tabs>
                <w:tab w:val="left" w:pos="403" w:leader="none"/>
              </w:tabs>
              <w:ind w:left="403" w:hanging="360"/>
              <w:jc w:val="both"/>
              <w:rPr/>
            </w:pPr>
            <w:r>
              <w:rPr/>
              <w:t>проведение концертов к праздничным да-</w:t>
            </w:r>
          </w:p>
          <w:p>
            <w:pPr>
              <w:pStyle w:val="Normal"/>
              <w:ind w:left="403" w:hanging="0"/>
              <w:jc w:val="both"/>
              <w:rPr/>
            </w:pPr>
            <w:r>
              <w:rPr/>
              <w:t>там и профессиональным праздникам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403" w:leader="none"/>
              </w:tabs>
              <w:ind w:left="403" w:hanging="360"/>
              <w:jc w:val="both"/>
              <w:rPr/>
            </w:pPr>
            <w:r>
              <w:rPr/>
              <w:t>проведение тематических мероприятий, направленных на формирование культур-</w:t>
            </w:r>
          </w:p>
          <w:p>
            <w:pPr>
              <w:pStyle w:val="Normal"/>
              <w:ind w:left="403" w:hanging="0"/>
              <w:jc w:val="both"/>
              <w:rPr/>
            </w:pPr>
            <w:r>
              <w:rPr/>
              <w:t>ных ценностей подрастающего поколения.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403" w:leader="none"/>
              </w:tabs>
              <w:ind w:left="403" w:hanging="360"/>
              <w:jc w:val="both"/>
              <w:rPr/>
            </w:pPr>
            <w:r>
              <w:rPr/>
              <w:t>проведение  массовых мероприятий, дискотек, вечеров отдыха, для раз- личных возрастных групп.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Художественный</w:t>
            </w:r>
          </w:p>
          <w:p>
            <w:pPr>
              <w:pStyle w:val="Normal"/>
              <w:rPr/>
            </w:pPr>
            <w:r>
              <w:rPr/>
              <w:t>руководитель</w:t>
            </w:r>
          </w:p>
        </w:tc>
      </w:tr>
      <w:tr>
        <w:trPr>
          <w:trHeight w:val="1656" w:hRule="atLeast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tabs>
                <w:tab w:val="left" w:pos="403" w:leader="none"/>
              </w:tabs>
              <w:ind w:left="403" w:hanging="360"/>
              <w:jc w:val="both"/>
              <w:rPr/>
            </w:pPr>
            <w:r>
              <w:rPr/>
              <w:t>подготовка поздравлений к профессио-нальным праздникам и юбилейным датам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403" w:leader="none"/>
              </w:tabs>
              <w:ind w:left="403" w:hanging="360"/>
              <w:jc w:val="both"/>
              <w:rPr/>
            </w:pPr>
            <w:r>
              <w:rPr/>
              <w:t>разработка и распространение информационных материалов об оказываемых учреждением культуры услугах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Директор</w:t>
            </w:r>
          </w:p>
          <w:p>
            <w:pPr>
              <w:pStyle w:val="Normal"/>
              <w:spacing w:lineRule="auto" w:line="276" w:before="0" w:after="20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Обеспечение пожарной безопасности учреждений культуры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hd w:val="clear" w:color="auto" w:fill="FFFFFF"/>
              <w:ind w:left="0" w:hanging="0"/>
              <w:jc w:val="both"/>
              <w:rPr/>
            </w:pPr>
            <w:r>
              <w:rPr/>
              <w:t>1.обработка одежды сцены огнезащитным составом;</w:t>
            </w:r>
          </w:p>
          <w:p>
            <w:pPr>
              <w:pStyle w:val="ListParagraph"/>
              <w:shd w:val="clear" w:color="auto" w:fill="FFFFFF"/>
              <w:ind w:left="0" w:hanging="0"/>
              <w:jc w:val="both"/>
              <w:rPr/>
            </w:pPr>
            <w:r>
              <w:rPr/>
              <w:t>2.испытания по контролю качества огнезащитной обработки деревянных конструкций и определения качества огнезащитной обработки ткани;</w:t>
            </w:r>
          </w:p>
          <w:p>
            <w:pPr>
              <w:pStyle w:val="ListParagraph"/>
              <w:shd w:val="clear" w:color="auto" w:fill="FFFFFF"/>
              <w:ind w:left="0" w:hanging="0"/>
              <w:jc w:val="both"/>
              <w:rPr/>
            </w:pPr>
            <w:r>
              <w:rPr/>
              <w:t>3. заключение договоров на обслуживание пожарной сигнализации;</w:t>
            </w:r>
          </w:p>
          <w:p>
            <w:pPr>
              <w:pStyle w:val="ListParagraph"/>
              <w:shd w:val="clear" w:color="auto" w:fill="FFFFFF"/>
              <w:ind w:left="0" w:hanging="0"/>
              <w:jc w:val="both"/>
              <w:rPr/>
            </w:pPr>
            <w:r>
              <w:rPr/>
              <w:t>4. измерение  давления в пожарных кранах (ПК), системы противопожарного  водопровода  (2 раза в год);</w:t>
            </w:r>
          </w:p>
          <w:p>
            <w:pPr>
              <w:pStyle w:val="ListParagraph"/>
              <w:shd w:val="clear" w:color="auto" w:fill="FFFFFF"/>
              <w:ind w:left="0" w:hanging="0"/>
              <w:jc w:val="both"/>
              <w:rPr/>
            </w:pPr>
            <w:r>
              <w:rPr/>
              <w:t>5. перемотка пожарных рукавов</w:t>
            </w:r>
          </w:p>
          <w:p>
            <w:pPr>
              <w:pStyle w:val="ListParagraph"/>
              <w:shd w:val="clear" w:color="auto" w:fill="FFFFFF"/>
              <w:ind w:left="0" w:hanging="0"/>
              <w:jc w:val="both"/>
              <w:rPr/>
            </w:pPr>
            <w:r>
              <w:rPr/>
              <w:t>6. обработка сцены в п. Олимпийский.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>7. замена дверной коробки в зрительном зале № 1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>8 .установка эвакуационного освещения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>9. установка доводчиков и уплотнителей дверей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Директор, администрация поселения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1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mirrorMargin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416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d64160"/>
    <w:pPr>
      <w:keepNext w:val="true"/>
      <w:jc w:val="center"/>
      <w:outlineLvl w:val="0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d64160"/>
    <w:rPr>
      <w:rFonts w:ascii="Times New Roman" w:hAnsi="Times New Roman" w:cs="Times New Roman"/>
      <w:b/>
      <w:sz w:val="24"/>
      <w:szCs w:val="24"/>
      <w:lang w:eastAsia="ru-RU"/>
    </w:rPr>
  </w:style>
  <w:style w:type="character" w:styleId="Style13" w:customStyle="1">
    <w:name w:val="Текст выноски Знак"/>
    <w:link w:val="a5"/>
    <w:uiPriority w:val="99"/>
    <w:semiHidden/>
    <w:qFormat/>
    <w:locked/>
    <w:rsid w:val="00671d12"/>
    <w:rPr>
      <w:rFonts w:ascii="Tahoma" w:hAnsi="Tahoma" w:cs="Tahoma"/>
      <w:sz w:val="16"/>
      <w:szCs w:val="16"/>
      <w:lang w:eastAsia="ru-RU"/>
    </w:rPr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sz w:val="28"/>
    </w:rPr>
  </w:style>
  <w:style w:type="character" w:styleId="ListLabel12">
    <w:name w:val="ListLabel 12"/>
    <w:qFormat/>
    <w:rPr>
      <w:sz w:val="28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  <w:sz w:val="28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  <w:sz w:val="28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  <w:sz w:val="28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Symbol"/>
      <w:sz w:val="28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8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8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Symbol"/>
      <w:sz w:val="28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  <w:sz w:val="28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  <w:sz w:val="28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cs="Times New Roman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Symbol"/>
      <w:sz w:val="28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  <w:sz w:val="28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  <w:sz w:val="28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6">
    <w:name w:val="ListLabel 336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cs="Times New Roman"/>
    </w:rPr>
  </w:style>
  <w:style w:type="character" w:styleId="ListLabel340">
    <w:name w:val="ListLabel 340"/>
    <w:qFormat/>
    <w:rPr>
      <w:rFonts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2">
    <w:name w:val="ListLabel 342"/>
    <w:qFormat/>
    <w:rPr>
      <w:rFonts w:cs="Times New Roman"/>
    </w:rPr>
  </w:style>
  <w:style w:type="character" w:styleId="ListLabel343">
    <w:name w:val="ListLabel 343"/>
    <w:qFormat/>
    <w:rPr>
      <w:rFonts w:cs="Times New Roman"/>
    </w:rPr>
  </w:style>
  <w:style w:type="character" w:styleId="ListLabel344">
    <w:name w:val="ListLabel 344"/>
    <w:qFormat/>
    <w:rPr>
      <w:rFonts w:cs="Times New Roman"/>
    </w:rPr>
  </w:style>
  <w:style w:type="character" w:styleId="ListLabel345">
    <w:name w:val="ListLabel 345"/>
    <w:qFormat/>
    <w:rPr>
      <w:rFonts w:cs="Times New Roman"/>
    </w:rPr>
  </w:style>
  <w:style w:type="character" w:styleId="ListLabel346">
    <w:name w:val="ListLabel 346"/>
    <w:qFormat/>
    <w:rPr>
      <w:rFonts w:cs="Symbol"/>
      <w:sz w:val="28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  <w:sz w:val="28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  <w:sz w:val="28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cs="Times New Roman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5">
    <w:name w:val="ListLabel 405"/>
    <w:qFormat/>
    <w:rPr>
      <w:rFonts w:cs="Times New Roman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Symbol"/>
      <w:sz w:val="28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  <w:sz w:val="28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  <w:sz w:val="28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rFonts w:cs="Times New Roman"/>
    </w:rPr>
  </w:style>
  <w:style w:type="character" w:styleId="ListLabel468">
    <w:name w:val="ListLabel 468"/>
    <w:qFormat/>
    <w:rPr>
      <w:rFonts w:cs="Times New Roman"/>
    </w:rPr>
  </w:style>
  <w:style w:type="character" w:styleId="ListLabel469">
    <w:name w:val="ListLabel 469"/>
    <w:qFormat/>
    <w:rPr>
      <w:rFonts w:cs="Times New Roman"/>
    </w:rPr>
  </w:style>
  <w:style w:type="character" w:styleId="ListLabel470">
    <w:name w:val="ListLabel 470"/>
    <w:qFormat/>
    <w:rPr>
      <w:rFonts w:cs="Times New Roman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Symbol"/>
      <w:sz w:val="28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  <w:sz w:val="28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  <w:sz w:val="28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rFonts w:cs="Times New Roman"/>
    </w:rPr>
  </w:style>
  <w:style w:type="character" w:styleId="ListLabel535">
    <w:name w:val="ListLabel 535"/>
    <w:qFormat/>
    <w:rPr>
      <w:rFonts w:cs="Symbol"/>
      <w:sz w:val="28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  <w:sz w:val="28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  <w:sz w:val="28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Times New Roman"/>
    </w:rPr>
  </w:style>
  <w:style w:type="character" w:styleId="ListLabel572">
    <w:name w:val="ListLabel 572"/>
    <w:qFormat/>
    <w:rPr>
      <w:rFonts w:cs="Times New Roman"/>
    </w:rPr>
  </w:style>
  <w:style w:type="character" w:styleId="ListLabel573">
    <w:name w:val="ListLabel 573"/>
    <w:qFormat/>
    <w:rPr>
      <w:rFonts w:cs="Times New Roman"/>
    </w:rPr>
  </w:style>
  <w:style w:type="character" w:styleId="ListLabel574">
    <w:name w:val="ListLabel 574"/>
    <w:qFormat/>
    <w:rPr>
      <w:rFonts w:cs="Times New Roman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Symbol"/>
      <w:sz w:val="28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  <w:sz w:val="28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  <w:sz w:val="28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Times New Roman"/>
    </w:rPr>
  </w:style>
  <w:style w:type="character" w:styleId="ListLabel635">
    <w:name w:val="ListLabel 635"/>
    <w:qFormat/>
    <w:rPr>
      <w:rFonts w:cs="Times New Roman"/>
    </w:rPr>
  </w:style>
  <w:style w:type="character" w:styleId="ListLabel636">
    <w:name w:val="ListLabel 636"/>
    <w:qFormat/>
    <w:rPr>
      <w:rFonts w:cs="Times New Roman"/>
    </w:rPr>
  </w:style>
  <w:style w:type="character" w:styleId="ListLabel637">
    <w:name w:val="ListLabel 637"/>
    <w:qFormat/>
    <w:rPr>
      <w:rFonts w:cs="Times New Roman"/>
    </w:rPr>
  </w:style>
  <w:style w:type="character" w:styleId="ListLabel638">
    <w:name w:val="ListLabel 638"/>
    <w:qFormat/>
    <w:rPr>
      <w:rFonts w:cs="Times New Roman"/>
    </w:rPr>
  </w:style>
  <w:style w:type="character" w:styleId="ListLabel639">
    <w:name w:val="ListLabel 639"/>
    <w:qFormat/>
    <w:rPr>
      <w:rFonts w:cs="Times New Roman"/>
    </w:rPr>
  </w:style>
  <w:style w:type="character" w:styleId="ListLabel640">
    <w:name w:val="ListLabel 640"/>
    <w:qFormat/>
    <w:rPr>
      <w:rFonts w:cs="Times New Roman"/>
    </w:rPr>
  </w:style>
  <w:style w:type="character" w:styleId="ListLabel641">
    <w:name w:val="ListLabel 641"/>
    <w:qFormat/>
    <w:rPr>
      <w:rFonts w:cs="Times New Roman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d6416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qFormat/>
    <w:rsid w:val="00671d12"/>
    <w:pPr/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d6416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F22BB-DE53-430F-ABD1-028E8AB4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LibreOffice/6.0.4.2$Windows_x86 LibreOffice_project/9b0d9b32d5dcda91d2f1a96dc04c645c450872bf</Application>
  <Pages>12</Pages>
  <Words>2014</Words>
  <Characters>15085</Characters>
  <CharactersWithSpaces>17790</CharactersWithSpaces>
  <Paragraphs>311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2015-12-05T12:08:00Z</dcterms:created>
  <dc:creator>Admin</dc:creator>
  <dc:description/>
  <dc:language>ru-RU</dc:language>
  <cp:lastModifiedBy/>
  <cp:lastPrinted>2017-01-26T11:03:00Z</cp:lastPrinted>
  <dcterms:modified xsi:type="dcterms:W3CDTF">2018-12-17T14:12:12Z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