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17" w:rsidRPr="001E1D0B" w:rsidRDefault="00D13217" w:rsidP="00D13217">
      <w:pPr>
        <w:pStyle w:val="a6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1D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РЕЧНОГО СЕЛЬСКОГО ПОСЕЛЕНИЯ</w:t>
      </w:r>
    </w:p>
    <w:p w:rsidR="00D13217" w:rsidRDefault="00D13217" w:rsidP="00D13217">
      <w:pPr>
        <w:pStyle w:val="a6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1D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КУМЕНСКОГО РАЙОНА КИРОВСКОЙ ОБЛАСТИ</w:t>
      </w:r>
    </w:p>
    <w:p w:rsidR="00D13217" w:rsidRPr="00806077" w:rsidRDefault="00D13217" w:rsidP="00D13217">
      <w:pPr>
        <w:pStyle w:val="a6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3217" w:rsidRPr="001E1D0B" w:rsidRDefault="00D13217" w:rsidP="00D1321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D13217" w:rsidRPr="001E1D0B" w:rsidRDefault="00D13217" w:rsidP="00D13217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03.12.2024</w:t>
      </w:r>
      <w:r w:rsidRPr="001E1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</w:p>
    <w:p w:rsidR="00D13217" w:rsidRPr="001E1D0B" w:rsidRDefault="00D13217" w:rsidP="00D13217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D0B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1D0B">
        <w:rPr>
          <w:rFonts w:ascii="Times New Roman" w:hAnsi="Times New Roman" w:cs="Times New Roman"/>
          <w:color w:val="000000" w:themeColor="text1"/>
          <w:sz w:val="28"/>
          <w:szCs w:val="28"/>
        </w:rPr>
        <w:t>Речной</w:t>
      </w:r>
    </w:p>
    <w:p w:rsidR="00D13217" w:rsidRPr="001E1D0B" w:rsidRDefault="00D13217" w:rsidP="00D13217">
      <w:pPr>
        <w:spacing w:after="0" w:line="240" w:lineRule="auto"/>
        <w:ind w:right="48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17" w:rsidRPr="001E1D0B" w:rsidRDefault="00D13217" w:rsidP="00D13217">
      <w:pPr>
        <w:pStyle w:val="1"/>
        <w:jc w:val="center"/>
        <w:rPr>
          <w:b/>
          <w:szCs w:val="28"/>
        </w:rPr>
      </w:pPr>
      <w:r w:rsidRPr="001E1D0B">
        <w:rPr>
          <w:b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</w:t>
      </w:r>
      <w:r>
        <w:rPr>
          <w:b/>
          <w:szCs w:val="28"/>
        </w:rPr>
        <w:t>ьного</w:t>
      </w:r>
      <w:r>
        <w:rPr>
          <w:b/>
          <w:szCs w:val="28"/>
        </w:rPr>
        <w:t xml:space="preserve"> жилищного контроля на 2025</w:t>
      </w:r>
      <w:r w:rsidRPr="001E1D0B">
        <w:rPr>
          <w:b/>
          <w:szCs w:val="28"/>
        </w:rPr>
        <w:t xml:space="preserve"> год</w:t>
      </w:r>
    </w:p>
    <w:p w:rsidR="00D13217" w:rsidRPr="001E1D0B" w:rsidRDefault="00D13217" w:rsidP="00D13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17" w:rsidRPr="001E1D0B" w:rsidRDefault="00D13217" w:rsidP="00D13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4" w:history="1">
        <w:r w:rsidRPr="001E1D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закона от 31.07.2020 </w:t>
      </w:r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</w:t>
      </w:r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в Российской Федерации»</w:t>
      </w:r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постановлением Правительства Российской Федерации от 25.06.2021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990 «</w:t>
      </w:r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Речного сельского поселения ПОСТАНОВЛЯЕТ:</w:t>
      </w:r>
      <w:bookmarkStart w:id="0" w:name="sub_1"/>
    </w:p>
    <w:p w:rsidR="00D13217" w:rsidRPr="001E1D0B" w:rsidRDefault="00D13217" w:rsidP="00D13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жилищного контроля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</w:t>
      </w:r>
      <w:hyperlink w:anchor="sub_1000" w:history="1">
        <w:r w:rsidRPr="001E1D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217" w:rsidRPr="001E1D0B" w:rsidRDefault="00D13217" w:rsidP="00D1321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ab/>
        <w:t>2.  Настоящее постановление подлежит официальному опубликованию в «Информационном бюллетен</w:t>
      </w:r>
      <w:r>
        <w:rPr>
          <w:rFonts w:ascii="Times New Roman" w:hAnsi="Times New Roman" w:cs="Times New Roman"/>
          <w:sz w:val="28"/>
          <w:szCs w:val="28"/>
        </w:rPr>
        <w:t>е» Речного сельского поселения,</w:t>
      </w:r>
      <w:r w:rsidRPr="001E1D0B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Pr="001E1D0B">
        <w:rPr>
          <w:rFonts w:ascii="Times New Roman" w:hAnsi="Times New Roman" w:cs="Times New Roman"/>
          <w:sz w:val="28"/>
          <w:szCs w:val="28"/>
        </w:rPr>
        <w:t xml:space="preserve"> Речного сельского поселения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Pr="001E1D0B">
        <w:rPr>
          <w:rFonts w:ascii="Times New Roman" w:hAnsi="Times New Roman" w:cs="Times New Roman"/>
          <w:sz w:val="28"/>
          <w:szCs w:val="28"/>
        </w:rPr>
        <w:t xml:space="preserve"> и вступает в силу после его официального опубликования.</w:t>
      </w:r>
    </w:p>
    <w:p w:rsidR="00D13217" w:rsidRPr="001E1D0B" w:rsidRDefault="00D13217" w:rsidP="00D132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Контроль за</w:t>
      </w:r>
      <w:r w:rsidRPr="001E1D0B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>нением настоящего постановления</w:t>
      </w:r>
      <w:r w:rsidRPr="001E1D0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13217" w:rsidRDefault="00D13217" w:rsidP="00D13217">
      <w:pPr>
        <w:rPr>
          <w:rFonts w:ascii="Times New Roman" w:hAnsi="Times New Roman" w:cs="Times New Roman"/>
          <w:sz w:val="28"/>
          <w:szCs w:val="28"/>
        </w:rPr>
      </w:pPr>
    </w:p>
    <w:p w:rsidR="00D13217" w:rsidRDefault="00D13217" w:rsidP="00D13217">
      <w:pPr>
        <w:rPr>
          <w:rFonts w:ascii="Times New Roman" w:hAnsi="Times New Roman" w:cs="Times New Roman"/>
          <w:sz w:val="28"/>
          <w:szCs w:val="28"/>
        </w:rPr>
      </w:pPr>
    </w:p>
    <w:p w:rsidR="00D13217" w:rsidRDefault="00D13217" w:rsidP="00D13217">
      <w:pPr>
        <w:rPr>
          <w:rFonts w:ascii="Times New Roman" w:hAnsi="Times New Roman" w:cs="Times New Roman"/>
          <w:sz w:val="28"/>
          <w:szCs w:val="28"/>
        </w:rPr>
      </w:pPr>
    </w:p>
    <w:p w:rsidR="00D13217" w:rsidRDefault="00D13217" w:rsidP="00D13217">
      <w:pPr>
        <w:rPr>
          <w:rFonts w:ascii="Times New Roman" w:hAnsi="Times New Roman" w:cs="Times New Roman"/>
          <w:sz w:val="28"/>
          <w:szCs w:val="28"/>
        </w:rPr>
      </w:pPr>
    </w:p>
    <w:p w:rsidR="00D13217" w:rsidRDefault="00D13217" w:rsidP="00D13217">
      <w:pPr>
        <w:rPr>
          <w:rFonts w:ascii="Times New Roman" w:hAnsi="Times New Roman" w:cs="Times New Roman"/>
          <w:sz w:val="28"/>
          <w:szCs w:val="28"/>
        </w:rPr>
      </w:pPr>
    </w:p>
    <w:p w:rsidR="00D13217" w:rsidRDefault="00D13217" w:rsidP="00D13217">
      <w:pPr>
        <w:rPr>
          <w:rFonts w:ascii="Times New Roman" w:hAnsi="Times New Roman" w:cs="Times New Roman"/>
          <w:sz w:val="28"/>
          <w:szCs w:val="28"/>
        </w:rPr>
      </w:pPr>
    </w:p>
    <w:p w:rsidR="00D13217" w:rsidRDefault="00D13217" w:rsidP="00D13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E1D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13217" w:rsidRPr="001E1D0B" w:rsidRDefault="00D13217" w:rsidP="00D13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  <w:r w:rsidRPr="001E1D0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А. О. Ершов</w:t>
      </w:r>
    </w:p>
    <w:bookmarkEnd w:id="0"/>
    <w:p w:rsidR="00D13217" w:rsidRPr="001E1D0B" w:rsidRDefault="00D13217" w:rsidP="00D1321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3217" w:rsidRDefault="00D13217" w:rsidP="00D1321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3217" w:rsidRDefault="00D13217" w:rsidP="00D1321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3217" w:rsidRDefault="00D13217" w:rsidP="00D1321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3217" w:rsidRDefault="00D13217" w:rsidP="00D1321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13217" w:rsidRPr="00806077" w:rsidRDefault="00D13217" w:rsidP="00D1321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E1D0B">
        <w:rPr>
          <w:color w:val="000000"/>
          <w:sz w:val="28"/>
          <w:szCs w:val="28"/>
        </w:rPr>
        <w:lastRenderedPageBreak/>
        <w:t xml:space="preserve">Приложение </w:t>
      </w:r>
    </w:p>
    <w:p w:rsidR="00D13217" w:rsidRPr="001E1D0B" w:rsidRDefault="00D13217" w:rsidP="00D1321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E1D0B">
        <w:rPr>
          <w:b/>
          <w:color w:val="000000"/>
          <w:sz w:val="28"/>
          <w:szCs w:val="28"/>
        </w:rPr>
        <w:t xml:space="preserve"> Программа профилактики рисков </w:t>
      </w:r>
    </w:p>
    <w:p w:rsidR="00D13217" w:rsidRPr="001E1D0B" w:rsidRDefault="00D13217" w:rsidP="00D1321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E1D0B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D13217" w:rsidRPr="001E1D0B" w:rsidRDefault="00D13217" w:rsidP="00D1321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E1D0B">
        <w:rPr>
          <w:b/>
          <w:color w:val="000000"/>
          <w:sz w:val="28"/>
          <w:szCs w:val="28"/>
        </w:rPr>
        <w:t xml:space="preserve">при осуществлении муниципального жилищного контроля </w:t>
      </w:r>
    </w:p>
    <w:p w:rsidR="00D13217" w:rsidRPr="001E1D0B" w:rsidRDefault="00D13217" w:rsidP="00D1321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2025</w:t>
      </w:r>
      <w:r w:rsidRPr="001E1D0B">
        <w:rPr>
          <w:b/>
          <w:color w:val="000000"/>
          <w:sz w:val="28"/>
          <w:szCs w:val="28"/>
        </w:rPr>
        <w:t xml:space="preserve"> год</w:t>
      </w:r>
    </w:p>
    <w:p w:rsidR="00D13217" w:rsidRPr="001E1D0B" w:rsidRDefault="00D13217" w:rsidP="00D1321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3217" w:rsidRPr="001E1D0B" w:rsidRDefault="00D13217" w:rsidP="00D1321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E1D0B">
        <w:rPr>
          <w:b/>
          <w:sz w:val="28"/>
          <w:szCs w:val="28"/>
          <w:lang w:val="en-US"/>
        </w:rPr>
        <w:t>I</w:t>
      </w:r>
      <w:r w:rsidRPr="001E1D0B">
        <w:rPr>
          <w:b/>
          <w:sz w:val="28"/>
          <w:szCs w:val="28"/>
        </w:rPr>
        <w:t>. Общие положения</w:t>
      </w:r>
    </w:p>
    <w:p w:rsidR="00D13217" w:rsidRPr="001E1D0B" w:rsidRDefault="00D13217" w:rsidP="00D1321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13217" w:rsidRPr="001E1D0B" w:rsidRDefault="00D13217" w:rsidP="00D1321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1D0B">
        <w:rPr>
          <w:rFonts w:ascii="Times New Roman" w:hAnsi="Times New Roman" w:cs="Times New Roman"/>
          <w:b w:val="0"/>
          <w:sz w:val="28"/>
          <w:szCs w:val="28"/>
        </w:rPr>
        <w:t>1. Настоящая Программа профилактики рисков причинения вреда (ущерба) охраняемым законом ценностям при осуществлении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ьного жилищного контроля на 2025</w:t>
      </w:r>
      <w:r w:rsidRPr="001E1D0B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1E1D0B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  <w:bookmarkEnd w:id="1"/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0B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(далее- Ф</w:t>
      </w:r>
      <w:r w:rsidRPr="001E1D0B"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-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31.07.2020 №247-ФЗ «</w:t>
      </w:r>
      <w:r w:rsidRPr="001E1D0B">
        <w:rPr>
          <w:rFonts w:ascii="Times New Roman" w:hAnsi="Times New Roman" w:cs="Times New Roman"/>
          <w:sz w:val="28"/>
          <w:szCs w:val="28"/>
        </w:rPr>
        <w:t>Об обязательных тре</w:t>
      </w:r>
      <w:r>
        <w:rPr>
          <w:rFonts w:ascii="Times New Roman" w:hAnsi="Times New Roman" w:cs="Times New Roman"/>
          <w:sz w:val="28"/>
          <w:szCs w:val="28"/>
        </w:rPr>
        <w:t>бованиях в Российской Федерации»</w:t>
      </w:r>
      <w:r w:rsidRPr="001E1D0B">
        <w:rPr>
          <w:rFonts w:ascii="Times New Roman" w:hAnsi="Times New Roman" w:cs="Times New Roman"/>
          <w:sz w:val="28"/>
          <w:szCs w:val="28"/>
        </w:rPr>
        <w:t>;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1D0B"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003"/>
      <w:r w:rsidRPr="001E1D0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1E1D0B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1D0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Pr="001E1D0B">
        <w:rPr>
          <w:rFonts w:ascii="Times New Roman" w:hAnsi="Times New Roman" w:cs="Times New Roman"/>
          <w:sz w:val="28"/>
          <w:szCs w:val="28"/>
        </w:rPr>
        <w:t>.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217" w:rsidRPr="001E1D0B" w:rsidRDefault="00D13217" w:rsidP="00D13217">
      <w:pPr>
        <w:pStyle w:val="1"/>
        <w:ind w:firstLine="567"/>
        <w:jc w:val="center"/>
        <w:rPr>
          <w:b/>
          <w:szCs w:val="28"/>
        </w:rPr>
      </w:pPr>
      <w:r w:rsidRPr="001E1D0B">
        <w:rPr>
          <w:b/>
          <w:szCs w:val="28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D13217" w:rsidRPr="001E1D0B" w:rsidRDefault="00D13217" w:rsidP="00D13217">
      <w:pPr>
        <w:pStyle w:val="1"/>
        <w:ind w:firstLine="567"/>
        <w:jc w:val="center"/>
        <w:rPr>
          <w:b/>
          <w:szCs w:val="28"/>
        </w:rPr>
      </w:pP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4.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lastRenderedPageBreak/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5" w:history="1">
        <w:r w:rsidRPr="001E1D0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E1D0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1E1D0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E1D0B">
        <w:rPr>
          <w:rFonts w:ascii="Times New Roman" w:hAnsi="Times New Roman" w:cs="Times New Roman"/>
          <w:sz w:val="28"/>
          <w:szCs w:val="28"/>
        </w:rPr>
        <w:t xml:space="preserve">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13.08.2006  № 491 «</w:t>
      </w:r>
      <w:r w:rsidRPr="001E1D0B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>
        <w:rPr>
          <w:rFonts w:ascii="Times New Roman" w:hAnsi="Times New Roman" w:cs="Times New Roman"/>
          <w:sz w:val="28"/>
          <w:szCs w:val="28"/>
        </w:rPr>
        <w:t>установленную продолжительность»</w:t>
      </w:r>
      <w:r w:rsidRPr="001E1D0B">
        <w:rPr>
          <w:rFonts w:ascii="Times New Roman" w:hAnsi="Times New Roman" w:cs="Times New Roman"/>
          <w:sz w:val="28"/>
          <w:szCs w:val="28"/>
        </w:rPr>
        <w:t>;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1E1D0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E1D0B">
        <w:rPr>
          <w:rFonts w:ascii="Times New Roman" w:hAnsi="Times New Roman" w:cs="Times New Roman"/>
          <w:sz w:val="28"/>
          <w:szCs w:val="28"/>
        </w:rPr>
        <w:t xml:space="preserve">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06.05.2011 № 354 «</w:t>
      </w:r>
      <w:r w:rsidRPr="001E1D0B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</w:t>
      </w:r>
      <w:r>
        <w:rPr>
          <w:rFonts w:ascii="Times New Roman" w:hAnsi="Times New Roman" w:cs="Times New Roman"/>
          <w:sz w:val="28"/>
          <w:szCs w:val="28"/>
        </w:rPr>
        <w:t>мах и жилых домов»</w:t>
      </w:r>
      <w:r w:rsidRPr="001E1D0B">
        <w:rPr>
          <w:rFonts w:ascii="Times New Roman" w:hAnsi="Times New Roman" w:cs="Times New Roman"/>
          <w:sz w:val="28"/>
          <w:szCs w:val="28"/>
        </w:rPr>
        <w:t>;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1E1D0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E1D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</w:t>
      </w:r>
      <w:r>
        <w:rPr>
          <w:rFonts w:ascii="Times New Roman" w:hAnsi="Times New Roman" w:cs="Times New Roman"/>
          <w:sz w:val="28"/>
          <w:szCs w:val="28"/>
        </w:rPr>
        <w:t xml:space="preserve"> № 290 «</w:t>
      </w:r>
      <w:r w:rsidRPr="001E1D0B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</w:t>
      </w:r>
      <w:r>
        <w:rPr>
          <w:rFonts w:ascii="Times New Roman" w:hAnsi="Times New Roman" w:cs="Times New Roman"/>
          <w:sz w:val="28"/>
          <w:szCs w:val="28"/>
        </w:rPr>
        <w:t>орядке их оказания и выполнения»</w:t>
      </w:r>
      <w:r w:rsidRPr="001E1D0B">
        <w:rPr>
          <w:rFonts w:ascii="Times New Roman" w:hAnsi="Times New Roman" w:cs="Times New Roman"/>
          <w:sz w:val="28"/>
          <w:szCs w:val="28"/>
        </w:rPr>
        <w:t>;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1E1D0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E1D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0B">
        <w:rPr>
          <w:rFonts w:ascii="Times New Roman" w:hAnsi="Times New Roman" w:cs="Times New Roman"/>
          <w:sz w:val="28"/>
          <w:szCs w:val="28"/>
        </w:rPr>
        <w:t xml:space="preserve"> № 416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1D0B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</w:t>
      </w:r>
      <w:r>
        <w:rPr>
          <w:rFonts w:ascii="Times New Roman" w:hAnsi="Times New Roman" w:cs="Times New Roman"/>
          <w:sz w:val="28"/>
          <w:szCs w:val="28"/>
        </w:rPr>
        <w:t>авлению многоквартирными домами»</w:t>
      </w:r>
      <w:r w:rsidRPr="001E1D0B">
        <w:rPr>
          <w:rFonts w:ascii="Times New Roman" w:hAnsi="Times New Roman" w:cs="Times New Roman"/>
          <w:sz w:val="28"/>
          <w:szCs w:val="28"/>
        </w:rPr>
        <w:t>;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1E1D0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E1D0B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</w:t>
      </w:r>
      <w:r>
        <w:rPr>
          <w:rFonts w:ascii="Times New Roman" w:hAnsi="Times New Roman" w:cs="Times New Roman"/>
          <w:sz w:val="28"/>
          <w:szCs w:val="28"/>
        </w:rPr>
        <w:t xml:space="preserve"> комплексу от 27.09.2003 № 170 «</w:t>
      </w:r>
      <w:r w:rsidRPr="001E1D0B">
        <w:rPr>
          <w:rFonts w:ascii="Times New Roman" w:hAnsi="Times New Roman" w:cs="Times New Roman"/>
          <w:sz w:val="28"/>
          <w:szCs w:val="28"/>
        </w:rPr>
        <w:t>Об утверждении Правил и норм техническ</w:t>
      </w:r>
      <w:r>
        <w:rPr>
          <w:rFonts w:ascii="Times New Roman" w:hAnsi="Times New Roman" w:cs="Times New Roman"/>
          <w:sz w:val="28"/>
          <w:szCs w:val="28"/>
        </w:rPr>
        <w:t>ой эксплуатации жилищного фонда»</w:t>
      </w:r>
      <w:r w:rsidRPr="001E1D0B">
        <w:rPr>
          <w:rFonts w:ascii="Times New Roman" w:hAnsi="Times New Roman" w:cs="Times New Roman"/>
          <w:sz w:val="28"/>
          <w:szCs w:val="28"/>
        </w:rPr>
        <w:t>;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1E1D0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1E1D0B">
        <w:rPr>
          <w:rFonts w:ascii="Times New Roman" w:hAnsi="Times New Roman" w:cs="Times New Roman"/>
          <w:sz w:val="28"/>
          <w:szCs w:val="28"/>
        </w:rPr>
        <w:t xml:space="preserve"> Речной сельской Думы от 22.04.2021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0B">
        <w:rPr>
          <w:rFonts w:ascii="Times New Roman" w:hAnsi="Times New Roman" w:cs="Times New Roman"/>
          <w:sz w:val="28"/>
          <w:szCs w:val="28"/>
        </w:rPr>
        <w:t>38/174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1D0B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территорий Речного сельского поселения </w:t>
      </w:r>
      <w:proofErr w:type="spellStart"/>
      <w:r w:rsidRPr="001E1D0B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1E1D0B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1D0B">
        <w:rPr>
          <w:rFonts w:ascii="Times New Roman" w:hAnsi="Times New Roman" w:cs="Times New Roman"/>
          <w:sz w:val="28"/>
          <w:szCs w:val="28"/>
        </w:rPr>
        <w:t>.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</w:t>
      </w:r>
      <w:r w:rsidRPr="001E1D0B">
        <w:rPr>
          <w:rFonts w:ascii="Times New Roman" w:hAnsi="Times New Roman" w:cs="Times New Roman"/>
          <w:sz w:val="28"/>
          <w:szCs w:val="28"/>
        </w:rPr>
        <w:lastRenderedPageBreak/>
        <w:t>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01.12.202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1D0B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Речного</w:t>
      </w:r>
      <w:r w:rsidRPr="001E1D0B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составляло 1 единицу.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8. В рамках профилактики рисков причинения вреда (ущерба) охраняемым законом ценностям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1D0B">
        <w:rPr>
          <w:rFonts w:ascii="Times New Roman" w:hAnsi="Times New Roman" w:cs="Times New Roman"/>
          <w:sz w:val="28"/>
          <w:szCs w:val="28"/>
        </w:rPr>
        <w:t xml:space="preserve">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0B">
        <w:rPr>
          <w:rFonts w:ascii="Times New Roman" w:hAnsi="Times New Roman" w:cs="Times New Roman"/>
          <w:sz w:val="28"/>
          <w:szCs w:val="28"/>
        </w:rPr>
        <w:t>в соответствии с Программой профилактики нарушений обязательных требований, требований, установленных муниципальными правовыми актами, при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контроля, выполняются</w:t>
      </w:r>
      <w:r w:rsidRPr="001E1D0B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D13217" w:rsidRPr="001E1D0B" w:rsidRDefault="00D13217" w:rsidP="00D13217">
      <w:pPr>
        <w:shd w:val="clear" w:color="auto" w:fill="FBFBFB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1D0B">
        <w:rPr>
          <w:rFonts w:ascii="Times New Roman" w:hAnsi="Times New Roman" w:cs="Times New Roman"/>
          <w:sz w:val="28"/>
          <w:szCs w:val="28"/>
        </w:rPr>
        <w:t xml:space="preserve">1)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E1D0B">
        <w:rPr>
          <w:rFonts w:ascii="Times New Roman" w:hAnsi="Times New Roman" w:cs="Times New Roman"/>
          <w:sz w:val="28"/>
          <w:szCs w:val="28"/>
        </w:rPr>
        <w:t xml:space="preserve"> Речного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1E1D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рубрике «Муниципальный контроль»</w:t>
      </w:r>
      <w:r w:rsidRPr="001E1D0B">
        <w:rPr>
          <w:rFonts w:ascii="Times New Roman" w:hAnsi="Times New Roman" w:cs="Times New Roman"/>
          <w:sz w:val="28"/>
          <w:szCs w:val="28"/>
        </w:rPr>
        <w:t xml:space="preserve">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2)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- ежедневного консультирования по вопросам, связанным с исполнением обязательных требований, и осуществлением муниципального контроля, как </w:t>
      </w:r>
      <w:proofErr w:type="gramStart"/>
      <w:r w:rsidRPr="001E1D0B">
        <w:rPr>
          <w:rFonts w:ascii="Times New Roman" w:hAnsi="Times New Roman" w:cs="Times New Roman"/>
          <w:sz w:val="28"/>
          <w:szCs w:val="28"/>
        </w:rPr>
        <w:t>лично</w:t>
      </w:r>
      <w:proofErr w:type="gramEnd"/>
      <w:r w:rsidRPr="001E1D0B">
        <w:rPr>
          <w:rFonts w:ascii="Times New Roman" w:hAnsi="Times New Roman" w:cs="Times New Roman"/>
          <w:sz w:val="28"/>
          <w:szCs w:val="28"/>
        </w:rPr>
        <w:t xml:space="preserve"> так и по телефону;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- постоянного мониторинга изменений обязательных требований, требований, установленных муниципальными правовыми актами по итогам которого в общед</w:t>
      </w:r>
      <w:r>
        <w:rPr>
          <w:rFonts w:ascii="Times New Roman" w:hAnsi="Times New Roman" w:cs="Times New Roman"/>
          <w:sz w:val="28"/>
          <w:szCs w:val="28"/>
        </w:rPr>
        <w:t>оступных источниках (в рубрике «Муниципальный контроль»</w:t>
      </w:r>
      <w:r w:rsidRPr="001E1D0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E1D0B">
        <w:rPr>
          <w:rFonts w:ascii="Times New Roman" w:hAnsi="Times New Roman" w:cs="Times New Roman"/>
          <w:sz w:val="28"/>
          <w:szCs w:val="28"/>
        </w:rPr>
        <w:t xml:space="preserve"> Речного сельского поселения,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9.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D13217" w:rsidRPr="001E1D0B" w:rsidRDefault="00D13217" w:rsidP="00D132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217" w:rsidRPr="001E1D0B" w:rsidRDefault="00D13217" w:rsidP="00D13217">
      <w:pPr>
        <w:pStyle w:val="1"/>
        <w:ind w:firstLine="567"/>
        <w:jc w:val="center"/>
        <w:rPr>
          <w:b/>
          <w:szCs w:val="28"/>
        </w:rPr>
      </w:pPr>
      <w:bookmarkStart w:id="4" w:name="sub_1200"/>
      <w:r w:rsidRPr="001E1D0B">
        <w:rPr>
          <w:b/>
          <w:szCs w:val="28"/>
        </w:rPr>
        <w:t>II</w:t>
      </w:r>
      <w:r w:rsidRPr="001E1D0B">
        <w:rPr>
          <w:b/>
          <w:szCs w:val="28"/>
          <w:lang w:val="en-US"/>
        </w:rPr>
        <w:t>I</w:t>
      </w:r>
      <w:r w:rsidRPr="001E1D0B">
        <w:rPr>
          <w:b/>
          <w:szCs w:val="28"/>
        </w:rPr>
        <w:t>. Цели и задачи реализации</w:t>
      </w:r>
      <w:r>
        <w:rPr>
          <w:b/>
          <w:szCs w:val="28"/>
        </w:rPr>
        <w:t xml:space="preserve"> </w:t>
      </w:r>
      <w:r w:rsidRPr="001E1D0B">
        <w:rPr>
          <w:b/>
          <w:szCs w:val="28"/>
        </w:rPr>
        <w:t>Программы</w:t>
      </w:r>
    </w:p>
    <w:p w:rsidR="00D13217" w:rsidRPr="001E1D0B" w:rsidRDefault="00D13217" w:rsidP="00D13217">
      <w:pPr>
        <w:spacing w:after="0" w:line="240" w:lineRule="auto"/>
        <w:ind w:firstLine="567"/>
        <w:rPr>
          <w:sz w:val="28"/>
          <w:szCs w:val="28"/>
          <w:lang w:eastAsia="ru-RU"/>
        </w:rPr>
      </w:pPr>
    </w:p>
    <w:p w:rsidR="00D13217" w:rsidRPr="001E1D0B" w:rsidRDefault="00D13217" w:rsidP="00D1321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1E1D0B">
        <w:rPr>
          <w:rFonts w:ascii="Times New Roman" w:hAnsi="Times New Roman" w:cs="Times New Roman"/>
          <w:sz w:val="28"/>
          <w:szCs w:val="28"/>
        </w:rPr>
        <w:t>11. Целями реализации Программы являются:</w:t>
      </w:r>
    </w:p>
    <w:bookmarkEnd w:id="5"/>
    <w:p w:rsidR="00D13217" w:rsidRPr="001E1D0B" w:rsidRDefault="00D13217" w:rsidP="00D1321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13217" w:rsidRPr="001E1D0B" w:rsidRDefault="00D13217" w:rsidP="00D1321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D13217" w:rsidRPr="001E1D0B" w:rsidRDefault="00D13217" w:rsidP="00D1321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3) создание условий для доведения обязательных требований до </w:t>
      </w:r>
      <w:r w:rsidRPr="001E1D0B">
        <w:rPr>
          <w:rFonts w:ascii="Times New Roman" w:hAnsi="Times New Roman" w:cs="Times New Roman"/>
          <w:sz w:val="28"/>
          <w:szCs w:val="28"/>
        </w:rPr>
        <w:lastRenderedPageBreak/>
        <w:t>контролируемых лиц, повышение информированности о способах их соблюдения.</w:t>
      </w:r>
    </w:p>
    <w:p w:rsidR="00D13217" w:rsidRPr="001E1D0B" w:rsidRDefault="00D13217" w:rsidP="00D1321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:rsidR="00D13217" w:rsidRPr="001E1D0B" w:rsidRDefault="00D13217" w:rsidP="00D1321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D13217" w:rsidRPr="001E1D0B" w:rsidRDefault="00D13217" w:rsidP="00D1321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D13217" w:rsidRPr="001E1D0B" w:rsidRDefault="00D13217" w:rsidP="00D1321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13217" w:rsidRPr="001E1D0B" w:rsidRDefault="00D13217" w:rsidP="00D132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 w:rsidRPr="001E1D0B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IV</w:t>
      </w:r>
      <w:r w:rsidRPr="001E1D0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Pr="001E1D0B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D13217" w:rsidRPr="001E1D0B" w:rsidRDefault="00D13217" w:rsidP="00D132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13217" w:rsidRPr="00806077" w:rsidTr="00676482">
        <w:trPr>
          <w:trHeight w:val="651"/>
        </w:trPr>
        <w:tc>
          <w:tcPr>
            <w:tcW w:w="696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13217" w:rsidRPr="00806077" w:rsidTr="00676482">
        <w:trPr>
          <w:trHeight w:val="1371"/>
        </w:trPr>
        <w:tc>
          <w:tcPr>
            <w:tcW w:w="696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D13217" w:rsidRPr="00806077" w:rsidRDefault="00D13217" w:rsidP="0067648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администрации Речного сельского поселения:</w:t>
            </w:r>
          </w:p>
        </w:tc>
        <w:tc>
          <w:tcPr>
            <w:tcW w:w="2340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</w:t>
            </w:r>
          </w:p>
        </w:tc>
        <w:tc>
          <w:tcPr>
            <w:tcW w:w="2347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 Речного сельского поселения</w:t>
            </w:r>
          </w:p>
        </w:tc>
      </w:tr>
      <w:tr w:rsidR="00D13217" w:rsidRPr="00806077" w:rsidTr="00676482">
        <w:tc>
          <w:tcPr>
            <w:tcW w:w="696" w:type="dxa"/>
          </w:tcPr>
          <w:p w:rsidR="00D13217" w:rsidRPr="00806077" w:rsidRDefault="00D13217" w:rsidP="0067648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D13217" w:rsidRPr="00806077" w:rsidRDefault="00D13217" w:rsidP="0067648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 Речного сельского поселения</w:t>
            </w:r>
          </w:p>
        </w:tc>
      </w:tr>
      <w:tr w:rsidR="00D13217" w:rsidRPr="00806077" w:rsidTr="00676482">
        <w:tc>
          <w:tcPr>
            <w:tcW w:w="696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D13217" w:rsidRPr="00806077" w:rsidRDefault="00D13217" w:rsidP="0067648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340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13217" w:rsidRPr="00806077" w:rsidTr="00676482">
        <w:tc>
          <w:tcPr>
            <w:tcW w:w="696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D13217" w:rsidRPr="005478DF" w:rsidRDefault="00D13217" w:rsidP="00676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060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Pr="0080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13217" w:rsidRPr="00806077" w:rsidTr="00676482">
        <w:tc>
          <w:tcPr>
            <w:tcW w:w="696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D13217" w:rsidRPr="00806077" w:rsidRDefault="00D13217" w:rsidP="0067648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3" w:history="1">
              <w:r w:rsidRPr="0080607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обязательных требованиях в Российской Федерации»;</w:t>
            </w:r>
          </w:p>
        </w:tc>
        <w:tc>
          <w:tcPr>
            <w:tcW w:w="2340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2347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13217" w:rsidRPr="00806077" w:rsidTr="00676482">
        <w:tc>
          <w:tcPr>
            <w:tcW w:w="696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45" w:type="dxa"/>
          </w:tcPr>
          <w:p w:rsidR="00D13217" w:rsidRPr="00806077" w:rsidRDefault="00D13217" w:rsidP="0067648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340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2347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 Речного сельского поселения</w:t>
            </w:r>
          </w:p>
        </w:tc>
      </w:tr>
      <w:tr w:rsidR="00D13217" w:rsidRPr="00806077" w:rsidTr="00676482">
        <w:tc>
          <w:tcPr>
            <w:tcW w:w="696" w:type="dxa"/>
          </w:tcPr>
          <w:p w:rsidR="00D13217" w:rsidRPr="00806077" w:rsidRDefault="00D13217" w:rsidP="0067648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D13217" w:rsidRPr="00806077" w:rsidRDefault="00D13217" w:rsidP="0067648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2347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13217" w:rsidRPr="00806077" w:rsidTr="00676482">
        <w:tc>
          <w:tcPr>
            <w:tcW w:w="696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:rsidR="00D13217" w:rsidRPr="00806077" w:rsidRDefault="00D13217" w:rsidP="0067648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 Речного сельского поселения</w:t>
            </w:r>
          </w:p>
        </w:tc>
      </w:tr>
      <w:tr w:rsidR="00D13217" w:rsidRPr="00806077" w:rsidTr="00676482">
        <w:tc>
          <w:tcPr>
            <w:tcW w:w="696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4245" w:type="dxa"/>
          </w:tcPr>
          <w:p w:rsidR="00D13217" w:rsidRPr="00806077" w:rsidRDefault="00D13217" w:rsidP="0067648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2347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13217" w:rsidRPr="00806077" w:rsidTr="00676482">
        <w:tc>
          <w:tcPr>
            <w:tcW w:w="696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4245" w:type="dxa"/>
          </w:tcPr>
          <w:p w:rsidR="00D13217" w:rsidRPr="00806077" w:rsidRDefault="00D13217" w:rsidP="0067648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2347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13217" w:rsidRPr="00806077" w:rsidTr="00676482">
        <w:tc>
          <w:tcPr>
            <w:tcW w:w="696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D13217" w:rsidRPr="00806077" w:rsidRDefault="00D13217" w:rsidP="0067648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контроле.</w:t>
            </w:r>
          </w:p>
          <w:p w:rsidR="00D13217" w:rsidRPr="00806077" w:rsidRDefault="00D13217" w:rsidP="0067648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13217" w:rsidRPr="00806077" w:rsidTr="00676482">
        <w:tc>
          <w:tcPr>
            <w:tcW w:w="696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D13217" w:rsidRPr="00806077" w:rsidRDefault="00D13217" w:rsidP="0067648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340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13217" w:rsidRPr="00806077" w:rsidTr="00676482">
        <w:tc>
          <w:tcPr>
            <w:tcW w:w="696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D13217" w:rsidRPr="00806077" w:rsidRDefault="00D13217" w:rsidP="0067648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13217" w:rsidRPr="00806077" w:rsidTr="00676482">
        <w:tc>
          <w:tcPr>
            <w:tcW w:w="696" w:type="dxa"/>
          </w:tcPr>
          <w:p w:rsidR="00D13217" w:rsidRPr="00806077" w:rsidRDefault="00D13217" w:rsidP="0067648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D13217" w:rsidRPr="00806077" w:rsidRDefault="00D13217" w:rsidP="0067648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80607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40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:rsidR="00D13217" w:rsidRPr="00806077" w:rsidRDefault="00D13217" w:rsidP="0067648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 Речного сельского поселения</w:t>
            </w:r>
          </w:p>
        </w:tc>
      </w:tr>
    </w:tbl>
    <w:p w:rsidR="00D13217" w:rsidRPr="00806077" w:rsidRDefault="00D13217" w:rsidP="00D132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3217" w:rsidRDefault="00D13217" w:rsidP="00D132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3217" w:rsidRPr="001E1D0B" w:rsidRDefault="00D13217" w:rsidP="00D132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lastRenderedPageBreak/>
        <w:t>V. Показатели результативности и эффективности Программы</w:t>
      </w:r>
    </w:p>
    <w:p w:rsidR="00D13217" w:rsidRPr="001E1D0B" w:rsidRDefault="00D13217" w:rsidP="00D13217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D13217" w:rsidRPr="00806077" w:rsidTr="00676482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7" w:rsidRPr="00806077" w:rsidRDefault="00D13217" w:rsidP="00676482">
            <w:pPr>
              <w:pStyle w:val="ConsPlusNormal"/>
              <w:jc w:val="center"/>
            </w:pPr>
            <w:r w:rsidRPr="00806077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217" w:rsidRPr="00806077" w:rsidRDefault="00D13217" w:rsidP="00676482">
            <w:pPr>
              <w:pStyle w:val="ConsPlusNormal"/>
              <w:jc w:val="center"/>
            </w:pPr>
            <w:r w:rsidRPr="00806077">
              <w:t>Исполнение</w:t>
            </w:r>
          </w:p>
          <w:p w:rsidR="00D13217" w:rsidRPr="00806077" w:rsidRDefault="00D13217" w:rsidP="00676482">
            <w:pPr>
              <w:pStyle w:val="ConsPlusNormal"/>
              <w:jc w:val="center"/>
            </w:pPr>
            <w:r w:rsidRPr="00806077">
              <w:t>показателя</w:t>
            </w:r>
          </w:p>
          <w:p w:rsidR="00D13217" w:rsidRPr="00806077" w:rsidRDefault="009F08A0" w:rsidP="00676482">
            <w:pPr>
              <w:pStyle w:val="ConsPlusNormal"/>
              <w:jc w:val="center"/>
            </w:pPr>
            <w:r>
              <w:t>2025</w:t>
            </w:r>
            <w:bookmarkStart w:id="7" w:name="_GoBack"/>
            <w:bookmarkEnd w:id="7"/>
            <w:r w:rsidR="00D13217" w:rsidRPr="00806077">
              <w:t xml:space="preserve"> год,</w:t>
            </w:r>
          </w:p>
          <w:p w:rsidR="00D13217" w:rsidRPr="00806077" w:rsidRDefault="00D13217" w:rsidP="00676482">
            <w:pPr>
              <w:pStyle w:val="ConsPlusNormal"/>
              <w:jc w:val="center"/>
            </w:pPr>
            <w:r w:rsidRPr="00806077">
              <w:t>%</w:t>
            </w:r>
          </w:p>
        </w:tc>
      </w:tr>
      <w:tr w:rsidR="00D13217" w:rsidRPr="00806077" w:rsidTr="0067648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7" w:rsidRPr="00806077" w:rsidRDefault="00D13217" w:rsidP="00676482">
            <w:pPr>
              <w:pStyle w:val="ConsPlusNormal"/>
              <w:jc w:val="both"/>
            </w:pPr>
            <w:r w:rsidRPr="00806077">
              <w:t>Полнота информации, размещенной на официальном сайте органов местного самоуправления города Нижневартовска в соответствии со  статьей 46 Федерального закона № 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7" w:rsidRPr="00806077" w:rsidRDefault="00D13217" w:rsidP="00676482">
            <w:pPr>
              <w:pStyle w:val="ConsPlusNormal"/>
              <w:jc w:val="center"/>
            </w:pPr>
            <w:r w:rsidRPr="00806077">
              <w:t>100%</w:t>
            </w:r>
          </w:p>
        </w:tc>
      </w:tr>
      <w:tr w:rsidR="00D13217" w:rsidRPr="00806077" w:rsidTr="0067648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7" w:rsidRPr="00806077" w:rsidRDefault="00D13217" w:rsidP="00676482">
            <w:pPr>
              <w:pStyle w:val="ConsPlusNormal"/>
              <w:jc w:val="both"/>
            </w:pPr>
            <w:r w:rsidRPr="00806077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7" w:rsidRPr="00806077" w:rsidRDefault="00D13217" w:rsidP="00676482">
            <w:pPr>
              <w:pStyle w:val="ConsPlusNormal"/>
              <w:jc w:val="center"/>
            </w:pPr>
            <w:r w:rsidRPr="00806077">
              <w:t>100%</w:t>
            </w:r>
          </w:p>
        </w:tc>
      </w:tr>
      <w:bookmarkEnd w:id="6"/>
    </w:tbl>
    <w:p w:rsidR="00D13217" w:rsidRPr="001E1D0B" w:rsidRDefault="00D13217" w:rsidP="00D13217">
      <w:pPr>
        <w:rPr>
          <w:sz w:val="28"/>
          <w:szCs w:val="28"/>
        </w:rPr>
      </w:pPr>
    </w:p>
    <w:p w:rsidR="00D13217" w:rsidRDefault="00D13217" w:rsidP="00D13217">
      <w:pPr>
        <w:jc w:val="center"/>
      </w:pPr>
      <w:r>
        <w:t>_________________________________</w:t>
      </w:r>
    </w:p>
    <w:p w:rsidR="00DE4CCA" w:rsidRDefault="00DE4CCA"/>
    <w:sectPr w:rsidR="00DE4CCA" w:rsidSect="00350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9E"/>
    <w:rsid w:val="002A309E"/>
    <w:rsid w:val="009F08A0"/>
    <w:rsid w:val="00D13217"/>
    <w:rsid w:val="00D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C9C9"/>
  <w15:chartTrackingRefBased/>
  <w15:docId w15:val="{0A8E5EF4-682B-40A3-8DC1-1C267979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7"/>
  </w:style>
  <w:style w:type="paragraph" w:styleId="1">
    <w:name w:val="heading 1"/>
    <w:basedOn w:val="a"/>
    <w:next w:val="a"/>
    <w:link w:val="10"/>
    <w:qFormat/>
    <w:rsid w:val="00D132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2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3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uiPriority w:val="99"/>
    <w:rsid w:val="00D132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D1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1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3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13217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D132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13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31&amp;date=14.09.2021" TargetMode="External"/><Relationship Id="rId13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2661&amp;date=14.09.2021" TargetMode="External"/><Relationship Id="rId12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6129&amp;date=14.09.2021" TargetMode="External"/><Relationship Id="rId11" Type="http://schemas.openxmlformats.org/officeDocument/2006/relationships/hyperlink" Target="https://login.consultant.ru/link/?req=doc&amp;base=RLAW926&amp;n=233128&amp;date=14.09.2021" TargetMode="External"/><Relationship Id="rId5" Type="http://schemas.openxmlformats.org/officeDocument/2006/relationships/hyperlink" Target="https://login.consultant.ru/link/?req=doc&amp;base=LAW&amp;n=373476&amp;date=14.09.202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772&amp;date=14.09.2021" TargetMode="External"/><Relationship Id="rId4" Type="http://schemas.openxmlformats.org/officeDocument/2006/relationships/hyperlink" Target="garantF1://12064247.8201" TargetMode="External"/><Relationship Id="rId9" Type="http://schemas.openxmlformats.org/officeDocument/2006/relationships/hyperlink" Target="https://login.consultant.ru/link/?req=doc&amp;base=LAW&amp;n=305825&amp;date=14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2024-12-12T05:41:00Z</dcterms:created>
  <dcterms:modified xsi:type="dcterms:W3CDTF">2024-12-12T05:52:00Z</dcterms:modified>
</cp:coreProperties>
</file>